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E" w:rsidRPr="0000387F" w:rsidRDefault="000612FE" w:rsidP="009620CC">
      <w:pPr>
        <w:widowControl w:val="0"/>
        <w:rPr>
          <w:sz w:val="16"/>
          <w:szCs w:val="16"/>
        </w:rPr>
      </w:pPr>
    </w:p>
    <w:p w:rsidR="000612FE" w:rsidRPr="000612FE" w:rsidRDefault="000612FE" w:rsidP="000612FE">
      <w:pPr>
        <w:widowControl w:val="0"/>
        <w:ind w:left="720" w:hanging="720"/>
        <w:rPr>
          <w:sz w:val="22"/>
          <w:szCs w:val="22"/>
        </w:rPr>
      </w:pPr>
      <w:r w:rsidRPr="00B36270">
        <w:rPr>
          <w:b/>
          <w:sz w:val="22"/>
          <w:szCs w:val="22"/>
        </w:rPr>
        <w:t>7</w:t>
      </w:r>
      <w:r>
        <w:rPr>
          <w:sz w:val="22"/>
          <w:szCs w:val="22"/>
        </w:rPr>
        <w:t>.</w:t>
      </w:r>
      <w:r>
        <w:rPr>
          <w:sz w:val="22"/>
          <w:szCs w:val="22"/>
        </w:rPr>
        <w:tab/>
      </w:r>
      <w:r w:rsidRPr="007E7326">
        <w:rPr>
          <w:b/>
          <w:sz w:val="22"/>
          <w:szCs w:val="22"/>
        </w:rPr>
        <w:t>BUDGET MONITORING REPORT - APRIL 2016 TO JUNE 2016 (</w:t>
      </w:r>
      <w:r w:rsidR="00CD35C6">
        <w:rPr>
          <w:b/>
          <w:sz w:val="22"/>
          <w:szCs w:val="22"/>
        </w:rPr>
        <w:t>RESOURCES</w:t>
      </w:r>
      <w:r w:rsidRPr="007E7326">
        <w:rPr>
          <w:b/>
          <w:sz w:val="22"/>
          <w:szCs w:val="22"/>
        </w:rPr>
        <w:t>)</w:t>
      </w:r>
    </w:p>
    <w:p w:rsidR="000612FE" w:rsidRPr="009620CC" w:rsidRDefault="000612FE" w:rsidP="000612FE">
      <w:pPr>
        <w:widowControl w:val="0"/>
        <w:ind w:left="720" w:hanging="720"/>
        <w:rPr>
          <w:b/>
          <w:sz w:val="16"/>
          <w:szCs w:val="16"/>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0612FE" w:rsidRPr="000612FE" w:rsidTr="000612FE">
        <w:tc>
          <w:tcPr>
            <w:tcW w:w="8919" w:type="dxa"/>
            <w:shd w:val="clear" w:color="auto" w:fill="auto"/>
          </w:tcPr>
          <w:p w:rsidR="000612FE" w:rsidRPr="000612FE" w:rsidRDefault="000612FE" w:rsidP="000612FE">
            <w:pPr>
              <w:widowControl w:val="0"/>
              <w:ind w:left="720" w:hanging="720"/>
              <w:rPr>
                <w:b/>
                <w:sz w:val="22"/>
                <w:szCs w:val="22"/>
              </w:rPr>
            </w:pPr>
            <w:r w:rsidRPr="000612FE">
              <w:rPr>
                <w:b/>
                <w:sz w:val="22"/>
                <w:szCs w:val="22"/>
              </w:rPr>
              <w:t>Synopsis of report:</w:t>
            </w:r>
          </w:p>
          <w:p w:rsidR="000612FE" w:rsidRPr="0000387F" w:rsidRDefault="000612FE" w:rsidP="000612FE">
            <w:pPr>
              <w:widowControl w:val="0"/>
              <w:ind w:left="720" w:hanging="720"/>
              <w:rPr>
                <w:b/>
                <w:sz w:val="16"/>
                <w:szCs w:val="16"/>
              </w:rPr>
            </w:pPr>
          </w:p>
          <w:p w:rsidR="000612FE" w:rsidRPr="000612FE" w:rsidRDefault="000612FE" w:rsidP="001206A2">
            <w:pPr>
              <w:widowControl w:val="0"/>
              <w:rPr>
                <w:b/>
                <w:sz w:val="22"/>
                <w:szCs w:val="22"/>
              </w:rPr>
            </w:pPr>
            <w:r w:rsidRPr="000612FE">
              <w:rPr>
                <w:b/>
                <w:sz w:val="22"/>
                <w:szCs w:val="22"/>
              </w:rPr>
              <w:t xml:space="preserve">To report the latest financial projections for the 2016/17 financial year for General Fund, Housing Revenue Account and Capital Programme. </w:t>
            </w:r>
          </w:p>
        </w:tc>
      </w:tr>
    </w:tbl>
    <w:p w:rsidR="000612FE" w:rsidRPr="009620CC" w:rsidRDefault="000612FE" w:rsidP="000612FE">
      <w:pPr>
        <w:widowControl w:val="0"/>
        <w:ind w:left="720" w:hanging="720"/>
        <w:rPr>
          <w:b/>
          <w:sz w:val="16"/>
          <w:szCs w:val="16"/>
        </w:rPr>
      </w:pPr>
    </w:p>
    <w:tbl>
      <w:tblPr>
        <w:tblW w:w="0" w:type="auto"/>
        <w:tblInd w:w="8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19"/>
      </w:tblGrid>
      <w:tr w:rsidR="000612FE" w:rsidRPr="000612FE" w:rsidTr="0000387F">
        <w:trPr>
          <w:trHeight w:val="1152"/>
        </w:trPr>
        <w:tc>
          <w:tcPr>
            <w:tcW w:w="8919" w:type="dxa"/>
            <w:shd w:val="clear" w:color="auto" w:fill="auto"/>
          </w:tcPr>
          <w:p w:rsidR="000612FE" w:rsidRPr="000612FE" w:rsidRDefault="000612FE" w:rsidP="000612FE">
            <w:pPr>
              <w:widowControl w:val="0"/>
              <w:ind w:left="720" w:hanging="720"/>
              <w:rPr>
                <w:b/>
                <w:sz w:val="22"/>
                <w:szCs w:val="22"/>
              </w:rPr>
            </w:pPr>
            <w:r w:rsidRPr="000612FE">
              <w:rPr>
                <w:b/>
                <w:sz w:val="22"/>
                <w:szCs w:val="22"/>
              </w:rPr>
              <w:t>Recommendation:</w:t>
            </w:r>
          </w:p>
          <w:p w:rsidR="000612FE" w:rsidRPr="000612FE" w:rsidRDefault="000612FE" w:rsidP="000612FE">
            <w:pPr>
              <w:widowControl w:val="0"/>
              <w:ind w:left="720" w:hanging="720"/>
              <w:rPr>
                <w:b/>
                <w:sz w:val="22"/>
                <w:szCs w:val="22"/>
              </w:rPr>
            </w:pPr>
          </w:p>
          <w:p w:rsidR="000612FE" w:rsidRPr="000612FE" w:rsidRDefault="000612FE" w:rsidP="000612FE">
            <w:pPr>
              <w:widowControl w:val="0"/>
              <w:ind w:left="720" w:hanging="720"/>
              <w:rPr>
                <w:b/>
                <w:sz w:val="22"/>
                <w:szCs w:val="22"/>
              </w:rPr>
            </w:pPr>
            <w:r w:rsidRPr="000612FE">
              <w:rPr>
                <w:b/>
                <w:sz w:val="22"/>
                <w:szCs w:val="22"/>
              </w:rPr>
              <w:t>For information.</w:t>
            </w:r>
          </w:p>
          <w:p w:rsidR="000612FE" w:rsidRPr="000612FE" w:rsidRDefault="000612FE" w:rsidP="000612FE">
            <w:pPr>
              <w:widowControl w:val="0"/>
              <w:ind w:left="720" w:hanging="720"/>
              <w:rPr>
                <w:b/>
                <w:sz w:val="22"/>
                <w:szCs w:val="22"/>
              </w:rPr>
            </w:pPr>
          </w:p>
        </w:tc>
      </w:tr>
    </w:tbl>
    <w:p w:rsidR="000612FE" w:rsidRDefault="000612FE" w:rsidP="000612FE">
      <w:pPr>
        <w:widowControl w:val="0"/>
        <w:ind w:left="720" w:hanging="720"/>
        <w:rPr>
          <w:b/>
          <w:sz w:val="22"/>
          <w:szCs w:val="22"/>
        </w:rPr>
      </w:pPr>
    </w:p>
    <w:p w:rsidR="00B416B3" w:rsidRPr="000612FE" w:rsidRDefault="00B416B3" w:rsidP="000612FE">
      <w:pPr>
        <w:widowControl w:val="0"/>
        <w:ind w:left="720" w:hanging="720"/>
        <w:rPr>
          <w:b/>
          <w:sz w:val="22"/>
          <w:szCs w:val="22"/>
        </w:rPr>
      </w:pPr>
    </w:p>
    <w:p w:rsidR="000612FE" w:rsidRPr="000612FE" w:rsidRDefault="000612FE" w:rsidP="000612FE">
      <w:pPr>
        <w:widowControl w:val="0"/>
        <w:ind w:left="720" w:hanging="720"/>
        <w:rPr>
          <w:b/>
          <w:sz w:val="22"/>
          <w:szCs w:val="22"/>
          <w:u w:val="single"/>
        </w:rPr>
      </w:pPr>
      <w:r w:rsidRPr="00B36270">
        <w:rPr>
          <w:b/>
          <w:sz w:val="22"/>
          <w:szCs w:val="22"/>
        </w:rPr>
        <w:t>1</w:t>
      </w:r>
      <w:r w:rsidR="00E81FB3">
        <w:rPr>
          <w:sz w:val="22"/>
          <w:szCs w:val="22"/>
        </w:rPr>
        <w:t>.</w:t>
      </w:r>
      <w:r w:rsidRPr="000612FE">
        <w:rPr>
          <w:sz w:val="22"/>
          <w:szCs w:val="22"/>
        </w:rPr>
        <w:tab/>
      </w:r>
      <w:r w:rsidRPr="00CD35C6">
        <w:rPr>
          <w:b/>
          <w:sz w:val="22"/>
          <w:szCs w:val="22"/>
        </w:rPr>
        <w:t>Context of report</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1.1</w:t>
      </w:r>
      <w:r w:rsidRPr="000612FE">
        <w:rPr>
          <w:sz w:val="22"/>
          <w:szCs w:val="22"/>
        </w:rPr>
        <w:tab/>
        <w:t xml:space="preserve">The Medium Term Financial Strategy (MTFS), the Capital Programme and the detailed General Fund budgets for 2016/17 were approved by the Corporate Management Committee on 21 January 2016 and subsequently by Full Council on 11 February 2016.  </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1.2</w:t>
      </w:r>
      <w:r w:rsidRPr="000612FE">
        <w:rPr>
          <w:sz w:val="22"/>
          <w:szCs w:val="22"/>
        </w:rPr>
        <w:tab/>
        <w:t>The detailed HRA budget for 2016/17 was approved by the Housing Committee on 13 January 2016 and subsequently by Full Council in February 2016.</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1.3</w:t>
      </w:r>
      <w:r w:rsidRPr="000612FE">
        <w:rPr>
          <w:sz w:val="22"/>
          <w:szCs w:val="22"/>
        </w:rPr>
        <w:tab/>
        <w:t xml:space="preserve">Starting in July, all budget managers are provided with a monthly budgetary control statement showing total budget, profiled budget and spend to date (including commitments). A full salary listing is also provided on an ad-hoc basis to chief officers.  Budget managers then inform the accountancy team of any variations and project likely spend to 31 March.  </w:t>
      </w:r>
    </w:p>
    <w:p w:rsidR="000612FE" w:rsidRPr="000612FE" w:rsidRDefault="000612FE" w:rsidP="000612FE">
      <w:pPr>
        <w:widowControl w:val="0"/>
        <w:ind w:left="720" w:hanging="720"/>
        <w:rPr>
          <w:sz w:val="22"/>
          <w:szCs w:val="22"/>
        </w:rPr>
      </w:pPr>
      <w:r w:rsidRPr="000612FE">
        <w:rPr>
          <w:sz w:val="22"/>
          <w:szCs w:val="22"/>
        </w:rPr>
        <w:tab/>
      </w:r>
    </w:p>
    <w:p w:rsidR="000612FE" w:rsidRPr="000612FE" w:rsidRDefault="000612FE" w:rsidP="000612FE">
      <w:pPr>
        <w:widowControl w:val="0"/>
        <w:ind w:left="720" w:hanging="720"/>
        <w:rPr>
          <w:sz w:val="22"/>
          <w:szCs w:val="22"/>
        </w:rPr>
      </w:pPr>
      <w:r w:rsidRPr="000612FE">
        <w:rPr>
          <w:sz w:val="22"/>
          <w:szCs w:val="22"/>
        </w:rPr>
        <w:t>1.4</w:t>
      </w:r>
      <w:r w:rsidRPr="000612FE">
        <w:rPr>
          <w:sz w:val="22"/>
          <w:szCs w:val="22"/>
        </w:rPr>
        <w:tab/>
        <w:t>Budget managers constantly monitor their budgets and are accountable for their budget and service performance. The projected outturns shown in this report are manager’s best estimates as at 30 June 2016.</w:t>
      </w:r>
    </w:p>
    <w:p w:rsidR="000612FE" w:rsidRPr="000612FE" w:rsidRDefault="000612FE" w:rsidP="007E7326">
      <w:pPr>
        <w:widowControl w:val="0"/>
        <w:rPr>
          <w:b/>
          <w:sz w:val="22"/>
          <w:szCs w:val="22"/>
          <w:u w:val="single"/>
        </w:rPr>
      </w:pPr>
    </w:p>
    <w:p w:rsidR="000612FE" w:rsidRPr="000612FE" w:rsidRDefault="000612FE" w:rsidP="000612FE">
      <w:pPr>
        <w:widowControl w:val="0"/>
        <w:ind w:left="720" w:hanging="720"/>
        <w:rPr>
          <w:b/>
          <w:sz w:val="22"/>
          <w:szCs w:val="22"/>
          <w:u w:val="single"/>
        </w:rPr>
      </w:pPr>
      <w:r w:rsidRPr="00DB578B">
        <w:rPr>
          <w:b/>
          <w:sz w:val="22"/>
          <w:szCs w:val="22"/>
        </w:rPr>
        <w:t>2</w:t>
      </w:r>
      <w:r w:rsidRPr="000612FE">
        <w:rPr>
          <w:b/>
          <w:sz w:val="22"/>
          <w:szCs w:val="22"/>
        </w:rPr>
        <w:tab/>
      </w:r>
      <w:r w:rsidRPr="00CD35C6">
        <w:rPr>
          <w:b/>
          <w:sz w:val="22"/>
          <w:szCs w:val="22"/>
        </w:rPr>
        <w:t>General Fund Revenue Budget</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2.1</w:t>
      </w:r>
      <w:r w:rsidRPr="000612FE">
        <w:rPr>
          <w:sz w:val="22"/>
          <w:szCs w:val="22"/>
        </w:rPr>
        <w:tab/>
        <w:t>The detailed General Fund budget for 2016/17 was approved in February 2016 along with the MTFS.  Since then various changes have occurred and a summary of the current projected use of balances for the General Fund can be seen in table 1 below:</w:t>
      </w:r>
    </w:p>
    <w:p w:rsidR="000612FE" w:rsidRPr="000612FE" w:rsidRDefault="000612FE" w:rsidP="000612FE">
      <w:pPr>
        <w:widowControl w:val="0"/>
        <w:ind w:left="720" w:hanging="720"/>
        <w:rPr>
          <w:sz w:val="22"/>
          <w:szCs w:val="22"/>
        </w:rPr>
      </w:pPr>
    </w:p>
    <w:tbl>
      <w:tblPr>
        <w:tblW w:w="9035"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83"/>
        <w:gridCol w:w="1134"/>
        <w:gridCol w:w="1134"/>
        <w:gridCol w:w="2384"/>
      </w:tblGrid>
      <w:tr w:rsidR="000612FE" w:rsidRPr="000612FE" w:rsidTr="00D225A9">
        <w:trPr>
          <w:trHeight w:val="255"/>
        </w:trPr>
        <w:tc>
          <w:tcPr>
            <w:tcW w:w="9035" w:type="dxa"/>
            <w:gridSpan w:val="4"/>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tcPr>
          <w:p w:rsidR="000612FE" w:rsidRPr="000612FE" w:rsidRDefault="000612FE" w:rsidP="000612FE">
            <w:pPr>
              <w:widowControl w:val="0"/>
              <w:ind w:left="720" w:hanging="720"/>
              <w:jc w:val="center"/>
              <w:rPr>
                <w:b/>
                <w:sz w:val="22"/>
                <w:szCs w:val="22"/>
              </w:rPr>
            </w:pPr>
            <w:r w:rsidRPr="000612FE">
              <w:rPr>
                <w:b/>
                <w:sz w:val="22"/>
                <w:szCs w:val="22"/>
              </w:rPr>
              <w:t>Table 1 – Projected use of General Fund balances</w:t>
            </w:r>
          </w:p>
        </w:tc>
      </w:tr>
      <w:tr w:rsidR="000612FE" w:rsidRPr="000612FE" w:rsidTr="00D225A9">
        <w:trPr>
          <w:trHeight w:val="255"/>
        </w:trPr>
        <w:tc>
          <w:tcPr>
            <w:tcW w:w="4383" w:type="dxa"/>
            <w:shd w:val="clear" w:color="auto" w:fill="auto"/>
            <w:noWrap/>
          </w:tcPr>
          <w:p w:rsidR="000612FE" w:rsidRPr="000612FE" w:rsidRDefault="000612FE" w:rsidP="000612FE">
            <w:pPr>
              <w:widowControl w:val="0"/>
              <w:ind w:left="720" w:hanging="720"/>
              <w:jc w:val="center"/>
              <w:rPr>
                <w:b/>
                <w:sz w:val="22"/>
                <w:szCs w:val="22"/>
                <w:lang w:val="en"/>
              </w:rPr>
            </w:pPr>
          </w:p>
        </w:tc>
        <w:tc>
          <w:tcPr>
            <w:tcW w:w="1134" w:type="dxa"/>
            <w:tcBorders>
              <w:top w:val="dotted" w:sz="4" w:space="0" w:color="auto"/>
              <w:bottom w:val="dotted" w:sz="4" w:space="0" w:color="auto"/>
            </w:tcBorders>
            <w:shd w:val="clear" w:color="auto" w:fill="auto"/>
            <w:noWrap/>
          </w:tcPr>
          <w:p w:rsidR="000612FE" w:rsidRPr="000612FE" w:rsidRDefault="000612FE" w:rsidP="000612FE">
            <w:pPr>
              <w:widowControl w:val="0"/>
              <w:ind w:left="720" w:hanging="720"/>
              <w:jc w:val="center"/>
              <w:rPr>
                <w:b/>
                <w:sz w:val="22"/>
                <w:szCs w:val="22"/>
              </w:rPr>
            </w:pPr>
            <w:r w:rsidRPr="000612FE">
              <w:rPr>
                <w:b/>
                <w:sz w:val="22"/>
                <w:szCs w:val="22"/>
              </w:rPr>
              <w:t>Original</w:t>
            </w:r>
          </w:p>
          <w:p w:rsidR="000612FE" w:rsidRPr="000612FE" w:rsidRDefault="000612FE" w:rsidP="000612FE">
            <w:pPr>
              <w:widowControl w:val="0"/>
              <w:ind w:left="720" w:hanging="720"/>
              <w:jc w:val="center"/>
              <w:rPr>
                <w:b/>
                <w:sz w:val="22"/>
                <w:szCs w:val="22"/>
              </w:rPr>
            </w:pPr>
            <w:r w:rsidRPr="000612FE">
              <w:rPr>
                <w:b/>
                <w:sz w:val="22"/>
                <w:szCs w:val="22"/>
              </w:rPr>
              <w:t>Budget</w:t>
            </w:r>
          </w:p>
          <w:p w:rsidR="000612FE" w:rsidRPr="000612FE" w:rsidRDefault="000612FE" w:rsidP="000612FE">
            <w:pPr>
              <w:widowControl w:val="0"/>
              <w:ind w:left="720" w:hanging="720"/>
              <w:jc w:val="center"/>
              <w:rPr>
                <w:b/>
                <w:sz w:val="22"/>
                <w:szCs w:val="22"/>
              </w:rPr>
            </w:pPr>
            <w:r w:rsidRPr="000612FE">
              <w:rPr>
                <w:b/>
                <w:sz w:val="22"/>
                <w:szCs w:val="22"/>
              </w:rPr>
              <w:t>£’000</w:t>
            </w:r>
          </w:p>
        </w:tc>
        <w:tc>
          <w:tcPr>
            <w:tcW w:w="1134" w:type="dxa"/>
            <w:tcBorders>
              <w:top w:val="dotted" w:sz="4" w:space="0" w:color="auto"/>
              <w:bottom w:val="dotted" w:sz="4" w:space="0" w:color="auto"/>
            </w:tcBorders>
          </w:tcPr>
          <w:p w:rsidR="000612FE" w:rsidRDefault="000612FE" w:rsidP="000612FE">
            <w:pPr>
              <w:widowControl w:val="0"/>
              <w:ind w:left="720" w:hanging="720"/>
              <w:jc w:val="center"/>
              <w:rPr>
                <w:b/>
                <w:sz w:val="22"/>
                <w:szCs w:val="22"/>
              </w:rPr>
            </w:pPr>
            <w:r>
              <w:rPr>
                <w:b/>
                <w:sz w:val="22"/>
                <w:szCs w:val="22"/>
              </w:rPr>
              <w:t xml:space="preserve">Forecast </w:t>
            </w:r>
          </w:p>
          <w:p w:rsidR="000612FE" w:rsidRDefault="000612FE" w:rsidP="000612FE">
            <w:pPr>
              <w:widowControl w:val="0"/>
              <w:ind w:left="720" w:hanging="720"/>
              <w:jc w:val="center"/>
              <w:rPr>
                <w:b/>
                <w:sz w:val="22"/>
                <w:szCs w:val="22"/>
              </w:rPr>
            </w:pPr>
            <w:r>
              <w:rPr>
                <w:b/>
                <w:sz w:val="22"/>
                <w:szCs w:val="22"/>
              </w:rPr>
              <w:t>Outturn</w:t>
            </w:r>
          </w:p>
          <w:p w:rsidR="000612FE" w:rsidRPr="000612FE" w:rsidRDefault="000612FE" w:rsidP="000612FE">
            <w:pPr>
              <w:widowControl w:val="0"/>
              <w:ind w:left="720" w:hanging="720"/>
              <w:jc w:val="center"/>
              <w:rPr>
                <w:b/>
                <w:sz w:val="22"/>
                <w:szCs w:val="22"/>
              </w:rPr>
            </w:pPr>
            <w:r>
              <w:rPr>
                <w:b/>
                <w:sz w:val="22"/>
                <w:szCs w:val="22"/>
              </w:rPr>
              <w:t xml:space="preserve">£’000 </w:t>
            </w:r>
          </w:p>
        </w:tc>
        <w:tc>
          <w:tcPr>
            <w:tcW w:w="2384" w:type="dxa"/>
            <w:tcBorders>
              <w:top w:val="dotted" w:sz="4" w:space="0" w:color="auto"/>
              <w:bottom w:val="dotted" w:sz="4" w:space="0" w:color="auto"/>
            </w:tcBorders>
            <w:shd w:val="clear" w:color="auto" w:fill="auto"/>
            <w:noWrap/>
          </w:tcPr>
          <w:p w:rsidR="000612FE" w:rsidRPr="000612FE" w:rsidRDefault="000612FE" w:rsidP="000612FE">
            <w:pPr>
              <w:widowControl w:val="0"/>
              <w:ind w:left="720" w:hanging="720"/>
              <w:jc w:val="center"/>
              <w:rPr>
                <w:b/>
                <w:sz w:val="22"/>
                <w:szCs w:val="22"/>
              </w:rPr>
            </w:pPr>
          </w:p>
        </w:tc>
      </w:tr>
      <w:tr w:rsidR="000612FE" w:rsidRPr="000612FE" w:rsidTr="00D225A9">
        <w:trPr>
          <w:trHeight w:val="255"/>
        </w:trPr>
        <w:tc>
          <w:tcPr>
            <w:tcW w:w="4383" w:type="dxa"/>
            <w:shd w:val="clear" w:color="auto" w:fill="auto"/>
            <w:noWrap/>
          </w:tcPr>
          <w:p w:rsidR="000612FE" w:rsidRPr="000612FE" w:rsidRDefault="000612FE" w:rsidP="00D225A9">
            <w:pPr>
              <w:widowControl w:val="0"/>
              <w:ind w:left="720" w:hanging="720"/>
              <w:rPr>
                <w:sz w:val="22"/>
                <w:szCs w:val="22"/>
              </w:rPr>
            </w:pPr>
            <w:r w:rsidRPr="000612FE">
              <w:rPr>
                <w:sz w:val="22"/>
                <w:szCs w:val="22"/>
              </w:rPr>
              <w:t>Net Expenditure on Services</w:t>
            </w:r>
          </w:p>
        </w:tc>
        <w:tc>
          <w:tcPr>
            <w:tcW w:w="113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11,115</w:t>
            </w:r>
          </w:p>
        </w:tc>
        <w:tc>
          <w:tcPr>
            <w:tcW w:w="1134" w:type="dxa"/>
            <w:tcBorders>
              <w:top w:val="dotted" w:sz="4" w:space="0" w:color="auto"/>
              <w:bottom w:val="dotted" w:sz="4" w:space="0" w:color="auto"/>
            </w:tcBorders>
          </w:tcPr>
          <w:p w:rsidR="000612FE" w:rsidRPr="000612FE" w:rsidRDefault="000612FE" w:rsidP="00D225A9">
            <w:pPr>
              <w:widowControl w:val="0"/>
              <w:ind w:left="720" w:hanging="720"/>
              <w:rPr>
                <w:sz w:val="22"/>
                <w:szCs w:val="22"/>
              </w:rPr>
            </w:pPr>
            <w:r w:rsidRPr="000612FE">
              <w:rPr>
                <w:sz w:val="22"/>
                <w:szCs w:val="22"/>
              </w:rPr>
              <w:t>11,790</w:t>
            </w:r>
          </w:p>
        </w:tc>
        <w:tc>
          <w:tcPr>
            <w:tcW w:w="238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Paragraph 2.3 below</w:t>
            </w:r>
          </w:p>
        </w:tc>
      </w:tr>
      <w:tr w:rsidR="000612FE" w:rsidRPr="000612FE" w:rsidTr="00D225A9">
        <w:trPr>
          <w:trHeight w:val="255"/>
        </w:trPr>
        <w:tc>
          <w:tcPr>
            <w:tcW w:w="4383" w:type="dxa"/>
            <w:shd w:val="clear" w:color="auto" w:fill="auto"/>
            <w:noWrap/>
          </w:tcPr>
          <w:p w:rsidR="000612FE" w:rsidRPr="000612FE" w:rsidRDefault="000612FE" w:rsidP="00D225A9">
            <w:pPr>
              <w:widowControl w:val="0"/>
              <w:ind w:left="720" w:hanging="720"/>
              <w:rPr>
                <w:sz w:val="22"/>
                <w:szCs w:val="22"/>
              </w:rPr>
            </w:pPr>
            <w:r w:rsidRPr="000612FE">
              <w:rPr>
                <w:sz w:val="22"/>
                <w:szCs w:val="22"/>
              </w:rPr>
              <w:t>Transfers and accounting adjustments</w:t>
            </w:r>
          </w:p>
        </w:tc>
        <w:tc>
          <w:tcPr>
            <w:tcW w:w="113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(1,978)</w:t>
            </w:r>
          </w:p>
        </w:tc>
        <w:tc>
          <w:tcPr>
            <w:tcW w:w="1134" w:type="dxa"/>
            <w:tcBorders>
              <w:top w:val="dotted" w:sz="4" w:space="0" w:color="auto"/>
              <w:bottom w:val="dotted" w:sz="4" w:space="0" w:color="auto"/>
            </w:tcBorders>
          </w:tcPr>
          <w:p w:rsidR="000612FE" w:rsidRPr="000612FE" w:rsidRDefault="000612FE" w:rsidP="00D225A9">
            <w:pPr>
              <w:widowControl w:val="0"/>
              <w:ind w:left="720" w:hanging="720"/>
              <w:rPr>
                <w:sz w:val="22"/>
                <w:szCs w:val="22"/>
              </w:rPr>
            </w:pPr>
            <w:r w:rsidRPr="000612FE">
              <w:rPr>
                <w:sz w:val="22"/>
                <w:szCs w:val="22"/>
              </w:rPr>
              <w:t>(1,978)</w:t>
            </w:r>
          </w:p>
        </w:tc>
        <w:tc>
          <w:tcPr>
            <w:tcW w:w="238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p>
        </w:tc>
      </w:tr>
      <w:tr w:rsidR="000612FE" w:rsidRPr="000612FE" w:rsidTr="00D225A9">
        <w:trPr>
          <w:trHeight w:val="255"/>
        </w:trPr>
        <w:tc>
          <w:tcPr>
            <w:tcW w:w="4383" w:type="dxa"/>
            <w:shd w:val="clear" w:color="auto" w:fill="auto"/>
            <w:noWrap/>
          </w:tcPr>
          <w:p w:rsidR="000612FE" w:rsidRPr="000612FE" w:rsidRDefault="000612FE" w:rsidP="00D225A9">
            <w:pPr>
              <w:widowControl w:val="0"/>
              <w:ind w:left="720" w:hanging="720"/>
              <w:rPr>
                <w:sz w:val="22"/>
                <w:szCs w:val="22"/>
              </w:rPr>
            </w:pPr>
            <w:r w:rsidRPr="000612FE">
              <w:rPr>
                <w:sz w:val="22"/>
                <w:szCs w:val="22"/>
              </w:rPr>
              <w:t>Treasury and financing</w:t>
            </w:r>
          </w:p>
        </w:tc>
        <w:tc>
          <w:tcPr>
            <w:tcW w:w="113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1,498</w:t>
            </w:r>
          </w:p>
        </w:tc>
        <w:tc>
          <w:tcPr>
            <w:tcW w:w="1134" w:type="dxa"/>
            <w:tcBorders>
              <w:top w:val="dotted" w:sz="4" w:space="0" w:color="auto"/>
              <w:bottom w:val="dotted" w:sz="4" w:space="0" w:color="auto"/>
            </w:tcBorders>
          </w:tcPr>
          <w:p w:rsidR="000612FE" w:rsidRPr="000612FE" w:rsidRDefault="000612FE" w:rsidP="00D225A9">
            <w:pPr>
              <w:widowControl w:val="0"/>
              <w:ind w:left="720" w:hanging="720"/>
              <w:rPr>
                <w:sz w:val="22"/>
                <w:szCs w:val="22"/>
              </w:rPr>
            </w:pPr>
            <w:r w:rsidRPr="000612FE">
              <w:rPr>
                <w:sz w:val="22"/>
                <w:szCs w:val="22"/>
              </w:rPr>
              <w:t>1,660</w:t>
            </w:r>
          </w:p>
        </w:tc>
        <w:tc>
          <w:tcPr>
            <w:tcW w:w="238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Paragraph 2.8 below</w:t>
            </w:r>
          </w:p>
        </w:tc>
      </w:tr>
      <w:tr w:rsidR="000612FE" w:rsidRPr="000612FE" w:rsidTr="00D225A9">
        <w:trPr>
          <w:trHeight w:val="255"/>
        </w:trPr>
        <w:tc>
          <w:tcPr>
            <w:tcW w:w="4383" w:type="dxa"/>
            <w:shd w:val="clear" w:color="auto" w:fill="auto"/>
            <w:noWrap/>
          </w:tcPr>
          <w:p w:rsidR="000612FE" w:rsidRPr="000612FE" w:rsidRDefault="000612FE" w:rsidP="00D225A9">
            <w:pPr>
              <w:widowControl w:val="0"/>
              <w:ind w:left="720" w:hanging="720"/>
              <w:rPr>
                <w:sz w:val="22"/>
                <w:szCs w:val="22"/>
              </w:rPr>
            </w:pPr>
            <w:r w:rsidRPr="000612FE">
              <w:rPr>
                <w:sz w:val="22"/>
                <w:szCs w:val="22"/>
              </w:rPr>
              <w:t>Government grants</w:t>
            </w:r>
          </w:p>
        </w:tc>
        <w:tc>
          <w:tcPr>
            <w:tcW w:w="113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(2,788)</w:t>
            </w:r>
          </w:p>
        </w:tc>
        <w:tc>
          <w:tcPr>
            <w:tcW w:w="1134" w:type="dxa"/>
            <w:tcBorders>
              <w:top w:val="dotted" w:sz="4" w:space="0" w:color="auto"/>
              <w:bottom w:val="dotted" w:sz="4" w:space="0" w:color="auto"/>
            </w:tcBorders>
          </w:tcPr>
          <w:p w:rsidR="000612FE" w:rsidRPr="000612FE" w:rsidRDefault="000612FE" w:rsidP="00D225A9">
            <w:pPr>
              <w:widowControl w:val="0"/>
              <w:ind w:left="720" w:hanging="720"/>
              <w:rPr>
                <w:sz w:val="22"/>
                <w:szCs w:val="22"/>
              </w:rPr>
            </w:pPr>
            <w:r w:rsidRPr="000612FE">
              <w:rPr>
                <w:sz w:val="22"/>
                <w:szCs w:val="22"/>
              </w:rPr>
              <w:t>(2,791)</w:t>
            </w:r>
          </w:p>
        </w:tc>
        <w:tc>
          <w:tcPr>
            <w:tcW w:w="238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Paragraph 2.11 below</w:t>
            </w:r>
          </w:p>
        </w:tc>
      </w:tr>
      <w:tr w:rsidR="000612FE" w:rsidRPr="000612FE" w:rsidTr="00D225A9">
        <w:trPr>
          <w:trHeight w:val="255"/>
        </w:trPr>
        <w:tc>
          <w:tcPr>
            <w:tcW w:w="4383" w:type="dxa"/>
            <w:shd w:val="clear" w:color="auto" w:fill="auto"/>
            <w:noWrap/>
          </w:tcPr>
          <w:p w:rsidR="000612FE" w:rsidRPr="000612FE" w:rsidRDefault="000612FE" w:rsidP="00D225A9">
            <w:pPr>
              <w:widowControl w:val="0"/>
              <w:ind w:left="720" w:hanging="720"/>
              <w:rPr>
                <w:sz w:val="22"/>
                <w:szCs w:val="22"/>
              </w:rPr>
            </w:pPr>
            <w:r w:rsidRPr="000612FE">
              <w:rPr>
                <w:sz w:val="22"/>
                <w:szCs w:val="22"/>
              </w:rPr>
              <w:t>Business rates and Council Tax collection</w:t>
            </w:r>
          </w:p>
        </w:tc>
        <w:tc>
          <w:tcPr>
            <w:tcW w:w="1134" w:type="dxa"/>
            <w:tcBorders>
              <w:top w:val="dotted" w:sz="4" w:space="0" w:color="auto"/>
              <w:bottom w:val="single"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(6,495)</w:t>
            </w:r>
          </w:p>
        </w:tc>
        <w:tc>
          <w:tcPr>
            <w:tcW w:w="1134" w:type="dxa"/>
            <w:tcBorders>
              <w:top w:val="dotted" w:sz="4" w:space="0" w:color="auto"/>
              <w:bottom w:val="single" w:sz="4" w:space="0" w:color="auto"/>
            </w:tcBorders>
          </w:tcPr>
          <w:p w:rsidR="000612FE" w:rsidRPr="000612FE" w:rsidRDefault="000612FE" w:rsidP="00D225A9">
            <w:pPr>
              <w:widowControl w:val="0"/>
              <w:ind w:left="720" w:hanging="720"/>
              <w:rPr>
                <w:sz w:val="22"/>
                <w:szCs w:val="22"/>
              </w:rPr>
            </w:pPr>
            <w:r w:rsidRPr="000612FE">
              <w:rPr>
                <w:sz w:val="22"/>
                <w:szCs w:val="22"/>
              </w:rPr>
              <w:t>(6,495)</w:t>
            </w:r>
          </w:p>
        </w:tc>
        <w:tc>
          <w:tcPr>
            <w:tcW w:w="2384" w:type="dxa"/>
            <w:tcBorders>
              <w:top w:val="dotted" w:sz="4" w:space="0" w:color="auto"/>
              <w:bottom w:val="dotted" w:sz="4" w:space="0" w:color="auto"/>
            </w:tcBorders>
            <w:shd w:val="clear" w:color="auto" w:fill="auto"/>
            <w:noWrap/>
          </w:tcPr>
          <w:p w:rsidR="000612FE" w:rsidRPr="000612FE" w:rsidRDefault="000612FE" w:rsidP="00D225A9">
            <w:pPr>
              <w:widowControl w:val="0"/>
              <w:ind w:left="720" w:hanging="720"/>
              <w:rPr>
                <w:sz w:val="22"/>
                <w:szCs w:val="22"/>
              </w:rPr>
            </w:pPr>
            <w:r w:rsidRPr="000612FE">
              <w:rPr>
                <w:sz w:val="22"/>
                <w:szCs w:val="22"/>
              </w:rPr>
              <w:t>Paragraph 2.12 below</w:t>
            </w:r>
          </w:p>
        </w:tc>
      </w:tr>
      <w:tr w:rsidR="000612FE" w:rsidRPr="000612FE" w:rsidTr="00D225A9">
        <w:trPr>
          <w:trHeight w:val="255"/>
        </w:trPr>
        <w:tc>
          <w:tcPr>
            <w:tcW w:w="4383"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D225A9">
            <w:pPr>
              <w:widowControl w:val="0"/>
              <w:ind w:left="720" w:hanging="720"/>
              <w:rPr>
                <w:b/>
                <w:sz w:val="22"/>
                <w:szCs w:val="22"/>
              </w:rPr>
            </w:pPr>
            <w:r w:rsidRPr="000612FE">
              <w:rPr>
                <w:b/>
                <w:sz w:val="22"/>
                <w:szCs w:val="22"/>
              </w:rPr>
              <w:t>Projected use of balances in 2016/17</w:t>
            </w:r>
          </w:p>
        </w:tc>
        <w:tc>
          <w:tcPr>
            <w:tcW w:w="1134" w:type="dxa"/>
            <w:tcBorders>
              <w:top w:val="single" w:sz="4" w:space="0" w:color="auto"/>
              <w:left w:val="dotted" w:sz="4" w:space="0" w:color="auto"/>
              <w:bottom w:val="single" w:sz="4" w:space="0" w:color="auto"/>
              <w:right w:val="dotted" w:sz="4" w:space="0" w:color="auto"/>
            </w:tcBorders>
            <w:shd w:val="clear" w:color="auto" w:fill="auto"/>
            <w:noWrap/>
          </w:tcPr>
          <w:p w:rsidR="000612FE" w:rsidRPr="000612FE" w:rsidRDefault="000612FE" w:rsidP="00D225A9">
            <w:pPr>
              <w:widowControl w:val="0"/>
              <w:ind w:left="720" w:hanging="720"/>
              <w:rPr>
                <w:b/>
                <w:sz w:val="22"/>
                <w:szCs w:val="22"/>
              </w:rPr>
            </w:pPr>
            <w:r w:rsidRPr="000612FE">
              <w:rPr>
                <w:b/>
                <w:sz w:val="22"/>
                <w:szCs w:val="22"/>
              </w:rPr>
              <w:t>1,352</w:t>
            </w:r>
          </w:p>
        </w:tc>
        <w:tc>
          <w:tcPr>
            <w:tcW w:w="1134" w:type="dxa"/>
            <w:tcBorders>
              <w:top w:val="single" w:sz="4" w:space="0" w:color="auto"/>
              <w:left w:val="dotted" w:sz="4" w:space="0" w:color="auto"/>
              <w:bottom w:val="single" w:sz="4" w:space="0" w:color="auto"/>
              <w:right w:val="dotted" w:sz="4" w:space="0" w:color="auto"/>
            </w:tcBorders>
            <w:shd w:val="clear" w:color="auto" w:fill="auto"/>
          </w:tcPr>
          <w:p w:rsidR="000612FE" w:rsidRPr="000612FE" w:rsidRDefault="000612FE" w:rsidP="00D225A9">
            <w:pPr>
              <w:widowControl w:val="0"/>
              <w:ind w:left="720" w:hanging="720"/>
              <w:rPr>
                <w:b/>
                <w:sz w:val="22"/>
                <w:szCs w:val="22"/>
              </w:rPr>
            </w:pPr>
            <w:r w:rsidRPr="000612FE">
              <w:rPr>
                <w:b/>
                <w:sz w:val="22"/>
                <w:szCs w:val="22"/>
              </w:rPr>
              <w:t>2,186</w:t>
            </w:r>
          </w:p>
        </w:tc>
        <w:tc>
          <w:tcPr>
            <w:tcW w:w="2384"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D225A9">
            <w:pPr>
              <w:widowControl w:val="0"/>
              <w:ind w:left="720" w:hanging="720"/>
              <w:rPr>
                <w:sz w:val="22"/>
                <w:szCs w:val="22"/>
              </w:rPr>
            </w:pPr>
          </w:p>
        </w:tc>
      </w:tr>
    </w:tbl>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Pr>
          <w:sz w:val="22"/>
          <w:szCs w:val="22"/>
        </w:rPr>
        <w:tab/>
      </w:r>
      <w:r w:rsidRPr="000612FE">
        <w:rPr>
          <w:sz w:val="22"/>
          <w:szCs w:val="22"/>
        </w:rPr>
        <w:t>An updated General Fund Summary (in the Budget Book format) setting out the</w:t>
      </w:r>
      <w:r w:rsidR="007E7326">
        <w:rPr>
          <w:sz w:val="22"/>
          <w:szCs w:val="22"/>
        </w:rPr>
        <w:t>se changes is set out at Appendix ‘E’</w:t>
      </w:r>
      <w:r w:rsidRPr="000612FE">
        <w:rPr>
          <w:sz w:val="22"/>
          <w:szCs w:val="22"/>
        </w:rPr>
        <w:t xml:space="preserve"> and is explored in more detail in the following paragraphs.   </w:t>
      </w:r>
    </w:p>
    <w:p w:rsidR="000612FE" w:rsidRPr="000612FE" w:rsidRDefault="000612FE" w:rsidP="000612FE">
      <w:pPr>
        <w:widowControl w:val="0"/>
        <w:ind w:left="720" w:hanging="720"/>
        <w:rPr>
          <w:sz w:val="22"/>
          <w:szCs w:val="22"/>
        </w:rPr>
      </w:pPr>
      <w:r w:rsidRPr="000612FE">
        <w:rPr>
          <w:sz w:val="22"/>
          <w:szCs w:val="22"/>
        </w:rPr>
        <w:tab/>
        <w:t xml:space="preserve"> </w:t>
      </w:r>
    </w:p>
    <w:p w:rsidR="000612FE" w:rsidRPr="000612FE" w:rsidRDefault="000612FE" w:rsidP="000612FE">
      <w:pPr>
        <w:widowControl w:val="0"/>
        <w:ind w:left="720" w:hanging="720"/>
        <w:rPr>
          <w:sz w:val="22"/>
          <w:szCs w:val="22"/>
        </w:rPr>
      </w:pPr>
      <w:r w:rsidRPr="000612FE">
        <w:rPr>
          <w:sz w:val="22"/>
          <w:szCs w:val="22"/>
        </w:rPr>
        <w:t>2.2</w:t>
      </w:r>
      <w:r w:rsidRPr="000612FE">
        <w:rPr>
          <w:sz w:val="22"/>
          <w:szCs w:val="22"/>
        </w:rPr>
        <w:tab/>
        <w:t xml:space="preserve">Assuming the predictions for the forecast outturn shown in table 1 materialise at the year end, this will reduce the General Fund working balance from £7.981m to £5,795m at 31 March 2017. </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Net Expenditure on Services</w:t>
      </w:r>
    </w:p>
    <w:p w:rsidR="000612FE" w:rsidRPr="000612FE" w:rsidRDefault="000612FE" w:rsidP="000612FE">
      <w:pPr>
        <w:widowControl w:val="0"/>
        <w:ind w:left="720" w:hanging="720"/>
        <w:rPr>
          <w:sz w:val="22"/>
          <w:szCs w:val="22"/>
          <w:u w:val="single"/>
        </w:rPr>
      </w:pPr>
    </w:p>
    <w:p w:rsidR="000612FE" w:rsidRPr="000612FE" w:rsidRDefault="000612FE" w:rsidP="007E7326">
      <w:pPr>
        <w:widowControl w:val="0"/>
        <w:numPr>
          <w:ilvl w:val="1"/>
          <w:numId w:val="10"/>
        </w:numPr>
        <w:ind w:left="720" w:hanging="720"/>
        <w:rPr>
          <w:sz w:val="22"/>
          <w:szCs w:val="22"/>
        </w:rPr>
      </w:pPr>
      <w:r w:rsidRPr="000612FE">
        <w:rPr>
          <w:sz w:val="22"/>
          <w:szCs w:val="22"/>
        </w:rPr>
        <w:t>The General Fund Summary set out in</w:t>
      </w:r>
      <w:r w:rsidR="007E7326">
        <w:rPr>
          <w:sz w:val="22"/>
          <w:szCs w:val="22"/>
        </w:rPr>
        <w:t xml:space="preserve"> Appendix ‘E’ provides</w:t>
      </w:r>
      <w:r w:rsidRPr="000612FE">
        <w:rPr>
          <w:sz w:val="22"/>
          <w:szCs w:val="22"/>
        </w:rPr>
        <w:t xml:space="preserve"> the net expenditure for each service area against the current budget and the forecast outturn as at 30 June 2016.  The </w:t>
      </w:r>
      <w:r w:rsidRPr="000612FE">
        <w:rPr>
          <w:sz w:val="22"/>
          <w:szCs w:val="22"/>
        </w:rPr>
        <w:lastRenderedPageBreak/>
        <w:t xml:space="preserve">current budget is made up of the original budget amended for any approved budgetary changes.  A summary of the more significant changes (over £5,000) at the Net Expenditure on Services level is set out in table 2 below:    </w:t>
      </w:r>
    </w:p>
    <w:p w:rsidR="000612FE" w:rsidRPr="000612FE" w:rsidRDefault="000612FE" w:rsidP="000612FE">
      <w:pPr>
        <w:widowControl w:val="0"/>
        <w:ind w:left="720" w:hanging="720"/>
        <w:rPr>
          <w:sz w:val="22"/>
          <w:szCs w:val="22"/>
        </w:rPr>
      </w:pPr>
    </w:p>
    <w:tbl>
      <w:tblPr>
        <w:tblW w:w="9203"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927"/>
        <w:gridCol w:w="1276"/>
      </w:tblGrid>
      <w:tr w:rsidR="000612FE" w:rsidRPr="000612FE" w:rsidTr="00B416B3">
        <w:trPr>
          <w:trHeight w:val="255"/>
        </w:trPr>
        <w:tc>
          <w:tcPr>
            <w:tcW w:w="9203" w:type="dxa"/>
            <w:gridSpan w:val="2"/>
            <w:shd w:val="clear" w:color="auto" w:fill="BFBFBF" w:themeFill="background1" w:themeFillShade="BF"/>
            <w:noWrap/>
            <w:vAlign w:val="bottom"/>
          </w:tcPr>
          <w:p w:rsidR="000612FE" w:rsidRPr="000612FE" w:rsidRDefault="000612FE" w:rsidP="000612FE">
            <w:pPr>
              <w:widowControl w:val="0"/>
              <w:ind w:left="720" w:hanging="720"/>
              <w:jc w:val="center"/>
              <w:rPr>
                <w:sz w:val="22"/>
                <w:szCs w:val="22"/>
              </w:rPr>
            </w:pPr>
            <w:r w:rsidRPr="000612FE">
              <w:rPr>
                <w:b/>
                <w:sz w:val="22"/>
                <w:szCs w:val="22"/>
              </w:rPr>
              <w:t>Table 2 – Changes in Net Expenditure on Services</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sz w:val="22"/>
                <w:szCs w:val="22"/>
                <w:lang w:val="en"/>
              </w:rPr>
            </w:pPr>
            <w:r w:rsidRPr="000612FE">
              <w:rPr>
                <w:sz w:val="22"/>
                <w:szCs w:val="22"/>
                <w:lang w:val="en"/>
              </w:rPr>
              <w:t>( ) = reduced expend or increased income</w:t>
            </w:r>
          </w:p>
          <w:p w:rsidR="000612FE" w:rsidRPr="000612FE" w:rsidRDefault="000612FE" w:rsidP="000612FE">
            <w:pPr>
              <w:widowControl w:val="0"/>
              <w:ind w:left="720" w:hanging="720"/>
              <w:rPr>
                <w:b/>
                <w:sz w:val="22"/>
                <w:szCs w:val="22"/>
                <w:lang w:val="en"/>
              </w:rPr>
            </w:pPr>
          </w:p>
        </w:tc>
        <w:tc>
          <w:tcPr>
            <w:tcW w:w="1276" w:type="dxa"/>
            <w:shd w:val="clear" w:color="auto" w:fill="auto"/>
            <w:noWrap/>
          </w:tcPr>
          <w:p w:rsidR="000612FE" w:rsidRPr="000612FE" w:rsidRDefault="000612FE" w:rsidP="00D225A9">
            <w:pPr>
              <w:widowControl w:val="0"/>
              <w:ind w:left="720" w:hanging="720"/>
              <w:jc w:val="center"/>
              <w:rPr>
                <w:b/>
                <w:sz w:val="22"/>
                <w:szCs w:val="22"/>
              </w:rPr>
            </w:pPr>
            <w:r w:rsidRPr="000612FE">
              <w:rPr>
                <w:b/>
                <w:sz w:val="22"/>
                <w:szCs w:val="22"/>
              </w:rPr>
              <w:t>2016/17</w:t>
            </w:r>
          </w:p>
          <w:p w:rsidR="000612FE" w:rsidRPr="000612FE" w:rsidRDefault="000612FE" w:rsidP="00D225A9">
            <w:pPr>
              <w:widowControl w:val="0"/>
              <w:ind w:left="720" w:hanging="720"/>
              <w:jc w:val="center"/>
              <w:rPr>
                <w:sz w:val="22"/>
                <w:szCs w:val="22"/>
              </w:rPr>
            </w:pPr>
            <w:r w:rsidRPr="000612FE">
              <w:rPr>
                <w:b/>
                <w:sz w:val="22"/>
                <w:szCs w:val="22"/>
              </w:rPr>
              <w:t>£’000</w:t>
            </w:r>
          </w:p>
        </w:tc>
      </w:tr>
      <w:tr w:rsidR="000612FE" w:rsidRPr="000612FE" w:rsidTr="00B416B3">
        <w:trPr>
          <w:trHeight w:val="255"/>
        </w:trPr>
        <w:tc>
          <w:tcPr>
            <w:tcW w:w="7927" w:type="dxa"/>
            <w:shd w:val="clear" w:color="auto" w:fill="auto"/>
            <w:noWrap/>
            <w:vAlign w:val="center"/>
          </w:tcPr>
          <w:p w:rsidR="000612FE" w:rsidRPr="000612FE" w:rsidRDefault="000612FE" w:rsidP="000612FE">
            <w:pPr>
              <w:widowControl w:val="0"/>
              <w:ind w:left="720" w:hanging="720"/>
              <w:rPr>
                <w:b/>
                <w:sz w:val="22"/>
                <w:szCs w:val="22"/>
                <w:lang w:val="en"/>
              </w:rPr>
            </w:pPr>
          </w:p>
        </w:tc>
        <w:tc>
          <w:tcPr>
            <w:tcW w:w="1276" w:type="dxa"/>
            <w:shd w:val="clear" w:color="auto" w:fill="auto"/>
            <w:noWrap/>
            <w:vAlign w:val="center"/>
          </w:tcPr>
          <w:p w:rsidR="000612FE" w:rsidRPr="000612FE" w:rsidRDefault="000612FE" w:rsidP="00D225A9">
            <w:pPr>
              <w:widowControl w:val="0"/>
              <w:ind w:left="720" w:hanging="720"/>
              <w:jc w:val="center"/>
              <w:rPr>
                <w:b/>
                <w:sz w:val="22"/>
                <w:szCs w:val="22"/>
              </w:rPr>
            </w:pPr>
          </w:p>
        </w:tc>
      </w:tr>
      <w:tr w:rsidR="000612FE" w:rsidRPr="000612FE" w:rsidTr="00B416B3">
        <w:trPr>
          <w:trHeight w:val="255"/>
        </w:trPr>
        <w:tc>
          <w:tcPr>
            <w:tcW w:w="7927" w:type="dxa"/>
            <w:shd w:val="clear" w:color="auto" w:fill="auto"/>
            <w:noWrap/>
            <w:vAlign w:val="center"/>
          </w:tcPr>
          <w:p w:rsidR="000612FE" w:rsidRPr="000612FE" w:rsidRDefault="000612FE" w:rsidP="000612FE">
            <w:pPr>
              <w:widowControl w:val="0"/>
              <w:ind w:left="720" w:hanging="720"/>
              <w:rPr>
                <w:b/>
                <w:sz w:val="22"/>
                <w:szCs w:val="22"/>
                <w:lang w:val="en"/>
              </w:rPr>
            </w:pPr>
            <w:r w:rsidRPr="000612FE">
              <w:rPr>
                <w:b/>
                <w:sz w:val="22"/>
                <w:szCs w:val="22"/>
              </w:rPr>
              <w:t xml:space="preserve">Original </w:t>
            </w:r>
            <w:r w:rsidRPr="000612FE">
              <w:rPr>
                <w:b/>
                <w:sz w:val="22"/>
                <w:szCs w:val="22"/>
                <w:lang w:val="en"/>
              </w:rPr>
              <w:t>Net Expenditure on Services:</w:t>
            </w:r>
          </w:p>
        </w:tc>
        <w:tc>
          <w:tcPr>
            <w:tcW w:w="1276" w:type="dxa"/>
            <w:shd w:val="clear" w:color="auto" w:fill="auto"/>
            <w:noWrap/>
            <w:vAlign w:val="center"/>
          </w:tcPr>
          <w:p w:rsidR="000612FE" w:rsidRPr="000612FE" w:rsidRDefault="000612FE" w:rsidP="00D225A9">
            <w:pPr>
              <w:widowControl w:val="0"/>
              <w:ind w:left="720" w:hanging="720"/>
              <w:jc w:val="center"/>
              <w:rPr>
                <w:b/>
                <w:sz w:val="22"/>
                <w:szCs w:val="22"/>
              </w:rPr>
            </w:pPr>
            <w:r w:rsidRPr="000612FE">
              <w:rPr>
                <w:b/>
                <w:sz w:val="22"/>
                <w:szCs w:val="22"/>
              </w:rPr>
              <w:t>11,115</w:t>
            </w:r>
          </w:p>
        </w:tc>
      </w:tr>
      <w:tr w:rsidR="000612FE" w:rsidRPr="000612FE" w:rsidTr="00B416B3">
        <w:trPr>
          <w:trHeight w:val="255"/>
        </w:trPr>
        <w:tc>
          <w:tcPr>
            <w:tcW w:w="7927" w:type="dxa"/>
            <w:shd w:val="clear" w:color="auto" w:fill="auto"/>
            <w:noWrap/>
            <w:vAlign w:val="center"/>
          </w:tcPr>
          <w:p w:rsidR="000612FE" w:rsidRPr="000612FE" w:rsidRDefault="000612FE" w:rsidP="000612FE">
            <w:pPr>
              <w:widowControl w:val="0"/>
              <w:ind w:left="720" w:hanging="720"/>
              <w:rPr>
                <w:b/>
                <w:sz w:val="22"/>
                <w:szCs w:val="22"/>
              </w:rPr>
            </w:pPr>
          </w:p>
        </w:tc>
        <w:tc>
          <w:tcPr>
            <w:tcW w:w="1276" w:type="dxa"/>
            <w:shd w:val="clear" w:color="auto" w:fill="auto"/>
            <w:noWrap/>
            <w:vAlign w:val="center"/>
          </w:tcPr>
          <w:p w:rsidR="000612FE" w:rsidRPr="000612FE" w:rsidRDefault="000612FE" w:rsidP="00D225A9">
            <w:pPr>
              <w:widowControl w:val="0"/>
              <w:ind w:left="720" w:hanging="720"/>
              <w:jc w:val="center"/>
              <w:rPr>
                <w:b/>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General</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clear" w:pos="1440"/>
                <w:tab w:val="left" w:pos="873"/>
              </w:tabs>
              <w:ind w:hanging="1417"/>
              <w:rPr>
                <w:sz w:val="22"/>
                <w:szCs w:val="22"/>
              </w:rPr>
            </w:pPr>
            <w:r w:rsidRPr="000612FE">
              <w:rPr>
                <w:sz w:val="22"/>
                <w:szCs w:val="22"/>
              </w:rPr>
              <w:t>Salaries (paragraph 2.4)</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0</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£300,000 Savings target – Savings not yet identified (paragraph 2.6)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253</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Strategic Maintenance Plan – 2016/17 programme lower than anticipated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(31)</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Vehicles - estimated overspend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25</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sz w:val="22"/>
                <w:szCs w:val="22"/>
              </w:rPr>
            </w:pP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center"/>
          </w:tcPr>
          <w:p w:rsidR="000612FE" w:rsidRPr="000612FE" w:rsidRDefault="000612FE" w:rsidP="000612FE">
            <w:pPr>
              <w:widowControl w:val="0"/>
              <w:ind w:left="720" w:hanging="720"/>
              <w:rPr>
                <w:b/>
                <w:sz w:val="22"/>
                <w:szCs w:val="22"/>
              </w:rPr>
            </w:pPr>
            <w:r w:rsidRPr="000612FE">
              <w:rPr>
                <w:b/>
                <w:sz w:val="22"/>
                <w:szCs w:val="22"/>
              </w:rPr>
              <w:t>Housing Committee</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p>
        </w:tc>
      </w:tr>
      <w:tr w:rsidR="000612FE" w:rsidRPr="000612FE" w:rsidTr="00B416B3">
        <w:trPr>
          <w:trHeight w:val="255"/>
        </w:trPr>
        <w:tc>
          <w:tcPr>
            <w:tcW w:w="7927" w:type="dxa"/>
            <w:shd w:val="clear" w:color="auto" w:fill="auto"/>
            <w:noWrap/>
            <w:vAlign w:val="center"/>
          </w:tcPr>
          <w:p w:rsidR="000612FE" w:rsidRPr="000612FE" w:rsidRDefault="000612FE" w:rsidP="00BC4E78">
            <w:pPr>
              <w:widowControl w:val="0"/>
              <w:numPr>
                <w:ilvl w:val="0"/>
                <w:numId w:val="9"/>
              </w:numPr>
              <w:ind w:hanging="517"/>
              <w:rPr>
                <w:sz w:val="22"/>
                <w:szCs w:val="22"/>
                <w:lang w:val="en"/>
              </w:rPr>
            </w:pPr>
            <w:r w:rsidRPr="000612FE">
              <w:rPr>
                <w:sz w:val="22"/>
                <w:szCs w:val="22"/>
                <w:lang w:val="en"/>
              </w:rPr>
              <w:t>Home Improvement Agency – increased net costs following the withdrawal of SCC Supporting People grants</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r w:rsidRPr="000612FE">
              <w:rPr>
                <w:bCs/>
                <w:sz w:val="22"/>
                <w:szCs w:val="22"/>
              </w:rPr>
              <w:t>34</w:t>
            </w:r>
          </w:p>
        </w:tc>
      </w:tr>
      <w:tr w:rsidR="000612FE" w:rsidRPr="000612FE" w:rsidTr="00B416B3">
        <w:trPr>
          <w:trHeight w:val="255"/>
        </w:trPr>
        <w:tc>
          <w:tcPr>
            <w:tcW w:w="7927" w:type="dxa"/>
            <w:shd w:val="clear" w:color="auto" w:fill="auto"/>
            <w:noWrap/>
            <w:vAlign w:val="center"/>
          </w:tcPr>
          <w:p w:rsidR="000612FE" w:rsidRPr="000612FE" w:rsidRDefault="000612FE" w:rsidP="00BC4E78">
            <w:pPr>
              <w:widowControl w:val="0"/>
              <w:numPr>
                <w:ilvl w:val="0"/>
                <w:numId w:val="9"/>
              </w:numPr>
              <w:ind w:hanging="517"/>
              <w:rPr>
                <w:sz w:val="22"/>
                <w:szCs w:val="22"/>
                <w:lang w:val="en"/>
              </w:rPr>
            </w:pPr>
            <w:r w:rsidRPr="000612FE">
              <w:rPr>
                <w:sz w:val="22"/>
                <w:szCs w:val="22"/>
                <w:lang w:val="en"/>
              </w:rPr>
              <w:t>Homelessness - P/U - Magna Carta lettings deferred until 1st April</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r w:rsidRPr="000612FE">
              <w:rPr>
                <w:bCs/>
                <w:sz w:val="22"/>
                <w:szCs w:val="22"/>
              </w:rPr>
              <w:t>16</w:t>
            </w:r>
          </w:p>
        </w:tc>
      </w:tr>
      <w:tr w:rsidR="000612FE" w:rsidRPr="000612FE" w:rsidTr="00B416B3">
        <w:trPr>
          <w:trHeight w:val="255"/>
        </w:trPr>
        <w:tc>
          <w:tcPr>
            <w:tcW w:w="7927" w:type="dxa"/>
            <w:shd w:val="clear" w:color="auto" w:fill="auto"/>
            <w:noWrap/>
            <w:vAlign w:val="center"/>
          </w:tcPr>
          <w:p w:rsidR="000612FE" w:rsidRPr="000612FE" w:rsidRDefault="000612FE" w:rsidP="00BC4E78">
            <w:pPr>
              <w:widowControl w:val="0"/>
              <w:numPr>
                <w:ilvl w:val="0"/>
                <w:numId w:val="9"/>
              </w:numPr>
              <w:ind w:hanging="517"/>
              <w:rPr>
                <w:sz w:val="22"/>
                <w:szCs w:val="22"/>
                <w:lang w:val="en"/>
              </w:rPr>
            </w:pPr>
            <w:r w:rsidRPr="000612FE">
              <w:rPr>
                <w:sz w:val="22"/>
                <w:szCs w:val="22"/>
                <w:lang w:val="en"/>
              </w:rPr>
              <w:t>Housing Options – additional post (</w:t>
            </w:r>
            <w:proofErr w:type="spellStart"/>
            <w:r w:rsidRPr="000612FE">
              <w:rPr>
                <w:sz w:val="22"/>
                <w:szCs w:val="22"/>
                <w:lang w:val="en"/>
              </w:rPr>
              <w:t>Hsg</w:t>
            </w:r>
            <w:proofErr w:type="spellEnd"/>
            <w:r w:rsidRPr="000612FE">
              <w:rPr>
                <w:sz w:val="22"/>
                <w:szCs w:val="22"/>
                <w:lang w:val="en"/>
              </w:rPr>
              <w:t xml:space="preserve"> </w:t>
            </w:r>
            <w:proofErr w:type="spellStart"/>
            <w:r w:rsidRPr="000612FE">
              <w:rPr>
                <w:sz w:val="22"/>
                <w:szCs w:val="22"/>
                <w:lang w:val="en"/>
              </w:rPr>
              <w:t>Cttee</w:t>
            </w:r>
            <w:proofErr w:type="spellEnd"/>
            <w:r w:rsidRPr="000612FE">
              <w:rPr>
                <w:sz w:val="22"/>
                <w:szCs w:val="22"/>
                <w:lang w:val="en"/>
              </w:rPr>
              <w:t xml:space="preserve"> – June 2016)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r w:rsidRPr="000612FE">
              <w:rPr>
                <w:bCs/>
                <w:sz w:val="22"/>
                <w:szCs w:val="22"/>
              </w:rPr>
              <w:t>28</w:t>
            </w:r>
          </w:p>
        </w:tc>
      </w:tr>
      <w:tr w:rsidR="000612FE" w:rsidRPr="000612FE" w:rsidTr="00B416B3">
        <w:trPr>
          <w:trHeight w:val="255"/>
        </w:trPr>
        <w:tc>
          <w:tcPr>
            <w:tcW w:w="7927" w:type="dxa"/>
            <w:shd w:val="clear" w:color="auto" w:fill="auto"/>
            <w:noWrap/>
            <w:vAlign w:val="center"/>
          </w:tcPr>
          <w:p w:rsidR="000612FE" w:rsidRPr="000612FE" w:rsidRDefault="000612FE" w:rsidP="00BC4E78">
            <w:pPr>
              <w:widowControl w:val="0"/>
              <w:numPr>
                <w:ilvl w:val="0"/>
                <w:numId w:val="9"/>
              </w:numPr>
              <w:ind w:hanging="517"/>
              <w:rPr>
                <w:sz w:val="22"/>
                <w:szCs w:val="22"/>
                <w:lang w:val="en"/>
              </w:rPr>
            </w:pPr>
            <w:r w:rsidRPr="000612FE">
              <w:rPr>
                <w:sz w:val="22"/>
                <w:szCs w:val="22"/>
                <w:lang w:val="en"/>
              </w:rPr>
              <w:t xml:space="preserve">Housing Register – upgrades to the </w:t>
            </w:r>
            <w:proofErr w:type="spellStart"/>
            <w:r w:rsidRPr="000612FE">
              <w:rPr>
                <w:sz w:val="22"/>
                <w:szCs w:val="22"/>
                <w:lang w:val="en"/>
              </w:rPr>
              <w:t>Locata</w:t>
            </w:r>
            <w:proofErr w:type="spellEnd"/>
            <w:r w:rsidRPr="000612FE">
              <w:rPr>
                <w:sz w:val="22"/>
                <w:szCs w:val="22"/>
                <w:lang w:val="en"/>
              </w:rPr>
              <w:t xml:space="preserve"> housing system following changes to the Allocations Policy in June. Revised costings to be reported for approval to the September Housing Committee.</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r w:rsidRPr="000612FE">
              <w:rPr>
                <w:bCs/>
                <w:sz w:val="22"/>
                <w:szCs w:val="22"/>
              </w:rPr>
              <w:t>10</w:t>
            </w:r>
          </w:p>
          <w:p w:rsidR="000612FE" w:rsidRPr="000612FE" w:rsidRDefault="000612FE" w:rsidP="00D225A9">
            <w:pPr>
              <w:widowControl w:val="0"/>
              <w:ind w:left="720" w:hanging="720"/>
              <w:jc w:val="center"/>
              <w:rPr>
                <w:bCs/>
                <w:sz w:val="22"/>
                <w:szCs w:val="22"/>
              </w:rPr>
            </w:pPr>
          </w:p>
        </w:tc>
      </w:tr>
      <w:tr w:rsidR="000612FE" w:rsidRPr="000612FE" w:rsidTr="00B416B3">
        <w:trPr>
          <w:trHeight w:val="255"/>
        </w:trPr>
        <w:tc>
          <w:tcPr>
            <w:tcW w:w="7927" w:type="dxa"/>
            <w:shd w:val="clear" w:color="auto" w:fill="auto"/>
            <w:noWrap/>
            <w:vAlign w:val="center"/>
          </w:tcPr>
          <w:p w:rsidR="000612FE" w:rsidRPr="000612FE" w:rsidRDefault="000612FE" w:rsidP="000612FE">
            <w:pPr>
              <w:widowControl w:val="0"/>
              <w:ind w:left="720" w:hanging="720"/>
              <w:rPr>
                <w:sz w:val="22"/>
                <w:szCs w:val="22"/>
                <w:lang w:val="en"/>
              </w:rPr>
            </w:pP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Cs/>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Community Services Committee</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9"/>
              </w:numPr>
              <w:rPr>
                <w:sz w:val="22"/>
                <w:szCs w:val="22"/>
                <w:lang w:val="en"/>
              </w:rPr>
            </w:pPr>
            <w:r w:rsidRPr="000612FE">
              <w:rPr>
                <w:sz w:val="22"/>
                <w:szCs w:val="22"/>
                <w:lang w:val="en"/>
              </w:rPr>
              <w:t>Grant Aid - P/U - Community First employment and skill scheme</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25</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Environment and Sustainability Committee</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Wheelie bins estimated overspend</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Recycling food waste bins estimated overspend</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Recycling – income overestimated in 2015/16</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10</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Green waste – increase in recycling credit income offset by </w:t>
            </w:r>
            <w:r w:rsidR="00D225A9">
              <w:rPr>
                <w:sz w:val="22"/>
                <w:szCs w:val="22"/>
              </w:rPr>
              <w:tab/>
            </w:r>
            <w:r w:rsidRPr="000612FE">
              <w:rPr>
                <w:sz w:val="22"/>
                <w:szCs w:val="22"/>
              </w:rPr>
              <w:t>additional disposal costs</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(8)</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Trade waste – savings target delayed – new rounds to be rolled out </w:t>
            </w:r>
            <w:r w:rsidR="00D225A9">
              <w:rPr>
                <w:sz w:val="22"/>
                <w:szCs w:val="22"/>
              </w:rPr>
              <w:tab/>
            </w:r>
            <w:r w:rsidRPr="000612FE">
              <w:rPr>
                <w:sz w:val="22"/>
                <w:szCs w:val="22"/>
              </w:rPr>
              <w:t>in September</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7</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Street cleansing – Graffiti removal – SCC contribution ceased</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Street cleansing – Graffiti savings target not yet met</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12</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Car parks – temporary staff for the summer</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6</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Car parks - Garfield road closed one month later than budgeted – </w:t>
            </w:r>
            <w:r w:rsidR="00D225A9">
              <w:rPr>
                <w:sz w:val="22"/>
                <w:szCs w:val="22"/>
              </w:rPr>
              <w:tab/>
            </w:r>
            <w:r w:rsidRPr="000612FE">
              <w:rPr>
                <w:sz w:val="22"/>
                <w:szCs w:val="22"/>
              </w:rPr>
              <w:t>additional income</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(3)</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 xml:space="preserve">Car parks - </w:t>
            </w:r>
            <w:proofErr w:type="spellStart"/>
            <w:r w:rsidRPr="000612FE">
              <w:rPr>
                <w:sz w:val="22"/>
                <w:szCs w:val="22"/>
              </w:rPr>
              <w:t>Addlestone</w:t>
            </w:r>
            <w:proofErr w:type="spellEnd"/>
            <w:r w:rsidRPr="000612FE">
              <w:rPr>
                <w:sz w:val="22"/>
                <w:szCs w:val="22"/>
              </w:rPr>
              <w:t xml:space="preserve"> One MSCP – budgets to be removed </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(9)</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Car parks – The Bourne – closure – loss of income offset by reduced </w:t>
            </w:r>
            <w:r w:rsidR="00D225A9">
              <w:rPr>
                <w:sz w:val="22"/>
                <w:szCs w:val="22"/>
              </w:rPr>
              <w:tab/>
            </w:r>
            <w:r w:rsidRPr="000612FE">
              <w:rPr>
                <w:sz w:val="22"/>
                <w:szCs w:val="22"/>
              </w:rPr>
              <w:t>costs</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33</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Car parks – increase in pay and display income</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(16)</w:t>
            </w:r>
          </w:p>
        </w:tc>
      </w:tr>
      <w:tr w:rsidR="000612FE" w:rsidRPr="000612FE" w:rsidTr="00B416B3">
        <w:trPr>
          <w:trHeight w:val="255"/>
        </w:trPr>
        <w:tc>
          <w:tcPr>
            <w:tcW w:w="7927" w:type="dxa"/>
            <w:shd w:val="clear" w:color="auto" w:fill="auto"/>
            <w:noWrap/>
            <w:vAlign w:val="bottom"/>
          </w:tcPr>
          <w:p w:rsidR="00D225A9" w:rsidRDefault="000612FE" w:rsidP="00BC4E78">
            <w:pPr>
              <w:widowControl w:val="0"/>
              <w:numPr>
                <w:ilvl w:val="0"/>
                <w:numId w:val="7"/>
              </w:numPr>
              <w:tabs>
                <w:tab w:val="left" w:pos="1440"/>
              </w:tabs>
              <w:ind w:left="23" w:firstLine="0"/>
              <w:rPr>
                <w:sz w:val="22"/>
                <w:szCs w:val="22"/>
              </w:rPr>
            </w:pPr>
            <w:r w:rsidRPr="000612FE">
              <w:rPr>
                <w:sz w:val="22"/>
                <w:szCs w:val="22"/>
              </w:rPr>
              <w:t xml:space="preserve">Car parks – savings target – additional permit income not fully </w:t>
            </w:r>
          </w:p>
          <w:p w:rsidR="000612FE" w:rsidRPr="000612FE" w:rsidRDefault="00D225A9" w:rsidP="00D225A9">
            <w:pPr>
              <w:widowControl w:val="0"/>
              <w:ind w:left="23"/>
              <w:rPr>
                <w:sz w:val="22"/>
                <w:szCs w:val="22"/>
              </w:rPr>
            </w:pPr>
            <w:r>
              <w:rPr>
                <w:sz w:val="22"/>
                <w:szCs w:val="22"/>
              </w:rPr>
              <w:tab/>
            </w:r>
            <w:r w:rsidR="000612FE" w:rsidRPr="000612FE">
              <w:rPr>
                <w:sz w:val="22"/>
                <w:szCs w:val="22"/>
              </w:rPr>
              <w:t>achieved</w:t>
            </w:r>
          </w:p>
        </w:tc>
        <w:tc>
          <w:tcPr>
            <w:tcW w:w="1276" w:type="dxa"/>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4</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sz w:val="22"/>
                <w:szCs w:val="22"/>
                <w:lang w:val="en"/>
              </w:rPr>
            </w:pP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Corporate Management Committee - General</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
                <w:sz w:val="22"/>
                <w:szCs w:val="22"/>
              </w:rPr>
            </w:pP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Compliance &amp; Review - P/U - Economic Development Strategy work</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Corporate Business Plan  - P/U - Provision for consultants</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6</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Corporate External Audit – provision reduced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(21)</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Members Allowances increased – (CMC – Feb 2016)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22</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Magna Carta - P/U - Magna Carta Legacy Project</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6</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Local land charges – upgrade costs</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Local land charges – increased income as VAT deferred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(20)</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lastRenderedPageBreak/>
              <w:tab/>
            </w:r>
            <w:r w:rsidR="000612FE" w:rsidRPr="000612FE">
              <w:rPr>
                <w:sz w:val="22"/>
                <w:szCs w:val="22"/>
                <w:lang w:val="en"/>
              </w:rPr>
              <w:t xml:space="preserve">Contingencies Planning – Purchase of </w:t>
            </w:r>
            <w:proofErr w:type="spellStart"/>
            <w:r w:rsidR="000612FE" w:rsidRPr="000612FE">
              <w:rPr>
                <w:sz w:val="22"/>
                <w:szCs w:val="22"/>
                <w:lang w:val="en"/>
              </w:rPr>
              <w:t>Hydrosnakes</w:t>
            </w:r>
            <w:proofErr w:type="spellEnd"/>
            <w:r w:rsidR="000612FE" w:rsidRPr="000612FE">
              <w:rPr>
                <w:sz w:val="22"/>
                <w:szCs w:val="22"/>
                <w:lang w:val="en"/>
              </w:rPr>
              <w:t xml:space="preserve"> (CMC – Mar 2016)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16</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 xml:space="preserve">Contingencies Planning – Vulnerable people data module (CMC – </w:t>
            </w:r>
            <w:r>
              <w:rPr>
                <w:sz w:val="22"/>
                <w:szCs w:val="22"/>
                <w:lang w:val="en"/>
              </w:rPr>
              <w:tab/>
            </w:r>
            <w:r w:rsidR="000612FE" w:rsidRPr="000612FE">
              <w:rPr>
                <w:sz w:val="22"/>
                <w:szCs w:val="22"/>
                <w:lang w:val="en"/>
              </w:rPr>
              <w:t>Jun 2016)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7</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Municipal safety – furniture and equipment provision increased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 xml:space="preserve">Civic Centre - Staff car parking – rent of spaces in </w:t>
            </w:r>
            <w:proofErr w:type="spellStart"/>
            <w:r w:rsidR="000612FE" w:rsidRPr="000612FE">
              <w:rPr>
                <w:sz w:val="22"/>
                <w:szCs w:val="22"/>
                <w:lang w:val="en"/>
              </w:rPr>
              <w:t>Addlestone</w:t>
            </w:r>
            <w:proofErr w:type="spellEnd"/>
            <w:r w:rsidR="000612FE" w:rsidRPr="000612FE">
              <w:rPr>
                <w:sz w:val="22"/>
                <w:szCs w:val="22"/>
                <w:lang w:val="en"/>
              </w:rPr>
              <w:t xml:space="preserve"> Multi-</w:t>
            </w:r>
            <w:r>
              <w:rPr>
                <w:sz w:val="22"/>
                <w:szCs w:val="22"/>
                <w:lang w:val="en"/>
              </w:rPr>
              <w:tab/>
            </w:r>
            <w:proofErr w:type="spellStart"/>
            <w:r w:rsidR="000612FE" w:rsidRPr="000612FE">
              <w:rPr>
                <w:sz w:val="22"/>
                <w:szCs w:val="22"/>
                <w:lang w:val="en"/>
              </w:rPr>
              <w:t>Storey</w:t>
            </w:r>
            <w:proofErr w:type="spellEnd"/>
            <w:r w:rsidR="000612FE" w:rsidRPr="000612FE">
              <w:rPr>
                <w:sz w:val="22"/>
                <w:szCs w:val="22"/>
                <w:lang w:val="en"/>
              </w:rPr>
              <w:t xml:space="preserve"> car park (CMC – June 2016)</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53</w:t>
            </w:r>
          </w:p>
        </w:tc>
      </w:tr>
      <w:tr w:rsidR="000612FE" w:rsidRPr="000612FE" w:rsidTr="00B416B3">
        <w:trPr>
          <w:trHeight w:val="255"/>
        </w:trPr>
        <w:tc>
          <w:tcPr>
            <w:tcW w:w="79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Financial Services - P/U - VAT review delayed due to staff vacancies</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5</w:t>
            </w:r>
          </w:p>
        </w:tc>
      </w:tr>
      <w:tr w:rsidR="000612FE" w:rsidRPr="000612FE" w:rsidTr="00B416B3">
        <w:trPr>
          <w:trHeight w:val="255"/>
        </w:trPr>
        <w:tc>
          <w:tcPr>
            <w:tcW w:w="79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 xml:space="preserve">Financial Services – New payment regulations (PCCI) compliance </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3</w:t>
            </w:r>
          </w:p>
        </w:tc>
      </w:tr>
      <w:tr w:rsidR="000612FE" w:rsidRPr="000612FE" w:rsidTr="00B416B3">
        <w:trPr>
          <w:trHeight w:val="255"/>
        </w:trPr>
        <w:tc>
          <w:tcPr>
            <w:tcW w:w="79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Computer services – compensation payment</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28</w:t>
            </w:r>
          </w:p>
        </w:tc>
      </w:tr>
      <w:tr w:rsidR="000612FE" w:rsidRPr="000612FE" w:rsidTr="00B416B3">
        <w:trPr>
          <w:trHeight w:val="255"/>
        </w:trPr>
        <w:tc>
          <w:tcPr>
            <w:tcW w:w="792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 xml:space="preserve">Customer Services - P/U - Consultancy provision required in May </w:t>
            </w:r>
            <w:r>
              <w:rPr>
                <w:sz w:val="22"/>
                <w:szCs w:val="22"/>
                <w:lang w:val="en"/>
              </w:rPr>
              <w:tab/>
            </w:r>
            <w:r w:rsidR="000612FE" w:rsidRPr="000612FE">
              <w:rPr>
                <w:sz w:val="22"/>
                <w:szCs w:val="22"/>
                <w:lang w:val="en"/>
              </w:rPr>
              <w:t>2016</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10</w:t>
            </w:r>
          </w:p>
        </w:tc>
      </w:tr>
      <w:tr w:rsidR="000612FE" w:rsidRPr="000612FE" w:rsidTr="00B416B3">
        <w:trPr>
          <w:trHeight w:val="255"/>
        </w:trPr>
        <w:tc>
          <w:tcPr>
            <w:tcW w:w="7927" w:type="dxa"/>
            <w:shd w:val="clear" w:color="auto" w:fill="auto"/>
            <w:noWrap/>
            <w:vAlign w:val="center"/>
          </w:tcPr>
          <w:p w:rsidR="000612FE" w:rsidRPr="000612FE" w:rsidRDefault="00D225A9" w:rsidP="00BC4E78">
            <w:pPr>
              <w:widowControl w:val="0"/>
              <w:numPr>
                <w:ilvl w:val="0"/>
                <w:numId w:val="9"/>
              </w:numPr>
              <w:ind w:hanging="517"/>
              <w:rPr>
                <w:sz w:val="22"/>
                <w:szCs w:val="22"/>
                <w:lang w:val="en"/>
              </w:rPr>
            </w:pPr>
            <w:r>
              <w:rPr>
                <w:sz w:val="22"/>
                <w:szCs w:val="22"/>
                <w:lang w:val="en"/>
              </w:rPr>
              <w:tab/>
            </w:r>
            <w:r w:rsidR="000612FE" w:rsidRPr="000612FE">
              <w:rPr>
                <w:sz w:val="22"/>
                <w:szCs w:val="22"/>
                <w:lang w:val="en"/>
              </w:rPr>
              <w:t xml:space="preserve">Customer services – Consultancy requirement – further provision </w:t>
            </w:r>
            <w:r>
              <w:rPr>
                <w:sz w:val="22"/>
                <w:szCs w:val="22"/>
                <w:lang w:val="en"/>
              </w:rPr>
              <w:tab/>
            </w:r>
            <w:r w:rsidR="000612FE" w:rsidRPr="000612FE">
              <w:rPr>
                <w:sz w:val="22"/>
                <w:szCs w:val="22"/>
                <w:lang w:val="en"/>
              </w:rPr>
              <w:t>required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70</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sz w:val="22"/>
                <w:szCs w:val="22"/>
                <w:lang w:val="en"/>
              </w:rPr>
            </w:pP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Corporate Management Committee – Property related</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b/>
                <w:sz w:val="22"/>
                <w:szCs w:val="22"/>
              </w:rPr>
            </w:pP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hanging="1417"/>
              <w:rPr>
                <w:sz w:val="22"/>
                <w:szCs w:val="22"/>
              </w:rPr>
            </w:pPr>
            <w:r w:rsidRPr="000612FE">
              <w:rPr>
                <w:sz w:val="22"/>
                <w:szCs w:val="22"/>
              </w:rPr>
              <w:t xml:space="preserve">Bourne Car Park sale – compensation received </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(68)</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St </w:t>
            </w:r>
            <w:proofErr w:type="spellStart"/>
            <w:r w:rsidRPr="000612FE">
              <w:rPr>
                <w:sz w:val="22"/>
                <w:szCs w:val="22"/>
              </w:rPr>
              <w:t>Judes</w:t>
            </w:r>
            <w:proofErr w:type="spellEnd"/>
            <w:r w:rsidRPr="000612FE">
              <w:rPr>
                <w:sz w:val="22"/>
                <w:szCs w:val="22"/>
              </w:rPr>
              <w:t xml:space="preserve"> – Sale of property to RBCI on long lease - no longer </w:t>
            </w:r>
            <w:r w:rsidR="00D225A9">
              <w:rPr>
                <w:sz w:val="22"/>
                <w:szCs w:val="22"/>
              </w:rPr>
              <w:tab/>
            </w:r>
            <w:r w:rsidRPr="000612FE">
              <w:rPr>
                <w:sz w:val="22"/>
                <w:szCs w:val="22"/>
              </w:rPr>
              <w:t xml:space="preserve">receiving rental income (£1.4m capital receipt received instead along </w:t>
            </w:r>
            <w:r w:rsidR="00D225A9">
              <w:rPr>
                <w:sz w:val="22"/>
                <w:szCs w:val="22"/>
              </w:rPr>
              <w:tab/>
            </w:r>
            <w:r w:rsidRPr="000612FE">
              <w:rPr>
                <w:sz w:val="22"/>
                <w:szCs w:val="22"/>
              </w:rPr>
              <w:t>with loan interest)</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75</w:t>
            </w:r>
          </w:p>
        </w:tc>
      </w:tr>
      <w:tr w:rsidR="000612FE" w:rsidRPr="000612FE" w:rsidTr="00B416B3">
        <w:trPr>
          <w:trHeight w:val="255"/>
        </w:trPr>
        <w:tc>
          <w:tcPr>
            <w:tcW w:w="7927" w:type="dxa"/>
            <w:shd w:val="clear" w:color="auto" w:fill="auto"/>
            <w:noWrap/>
            <w:vAlign w:val="bottom"/>
          </w:tcPr>
          <w:p w:rsidR="000612FE" w:rsidRPr="000612FE" w:rsidRDefault="000612FE" w:rsidP="00BC4E78">
            <w:pPr>
              <w:widowControl w:val="0"/>
              <w:numPr>
                <w:ilvl w:val="0"/>
                <w:numId w:val="7"/>
              </w:numPr>
              <w:tabs>
                <w:tab w:val="left" w:pos="1440"/>
              </w:tabs>
              <w:ind w:left="23" w:firstLine="0"/>
              <w:rPr>
                <w:sz w:val="22"/>
                <w:szCs w:val="22"/>
              </w:rPr>
            </w:pPr>
            <w:r w:rsidRPr="000612FE">
              <w:rPr>
                <w:sz w:val="22"/>
                <w:szCs w:val="22"/>
              </w:rPr>
              <w:t xml:space="preserve">New rental income – dependant on purchase timing (target of </w:t>
            </w:r>
            <w:r w:rsidR="00D225A9">
              <w:rPr>
                <w:sz w:val="22"/>
                <w:szCs w:val="22"/>
              </w:rPr>
              <w:tab/>
            </w:r>
            <w:r w:rsidRPr="000612FE">
              <w:rPr>
                <w:sz w:val="22"/>
                <w:szCs w:val="22"/>
              </w:rPr>
              <w:t>£120,000)</w:t>
            </w: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r w:rsidRPr="000612FE">
              <w:rPr>
                <w:sz w:val="22"/>
                <w:szCs w:val="22"/>
              </w:rPr>
              <w:t>60</w:t>
            </w:r>
          </w:p>
        </w:tc>
      </w:tr>
      <w:tr w:rsidR="000612FE" w:rsidRPr="000612FE" w:rsidTr="00B416B3">
        <w:trPr>
          <w:trHeight w:val="255"/>
        </w:trPr>
        <w:tc>
          <w:tcPr>
            <w:tcW w:w="7927" w:type="dxa"/>
            <w:shd w:val="clear" w:color="auto" w:fill="auto"/>
            <w:noWrap/>
            <w:vAlign w:val="bottom"/>
          </w:tcPr>
          <w:p w:rsidR="000612FE" w:rsidRPr="000612FE" w:rsidRDefault="000612FE" w:rsidP="000612FE">
            <w:pPr>
              <w:widowControl w:val="0"/>
              <w:ind w:left="720" w:hanging="720"/>
              <w:rPr>
                <w:sz w:val="22"/>
                <w:szCs w:val="22"/>
                <w:lang w:val="en"/>
              </w:rPr>
            </w:pPr>
          </w:p>
        </w:tc>
        <w:tc>
          <w:tcPr>
            <w:tcW w:w="1276" w:type="dxa"/>
            <w:tcBorders>
              <w:bottom w:val="dotted" w:sz="4" w:space="0" w:color="auto"/>
            </w:tcBorders>
            <w:shd w:val="clear" w:color="auto" w:fill="auto"/>
            <w:noWrap/>
            <w:vAlign w:val="bottom"/>
          </w:tcPr>
          <w:p w:rsidR="000612FE" w:rsidRPr="000612FE" w:rsidRDefault="000612FE" w:rsidP="00D225A9">
            <w:pPr>
              <w:widowControl w:val="0"/>
              <w:ind w:left="720" w:hanging="720"/>
              <w:jc w:val="center"/>
              <w:rPr>
                <w:sz w:val="22"/>
                <w:szCs w:val="22"/>
              </w:rPr>
            </w:pPr>
          </w:p>
        </w:tc>
      </w:tr>
      <w:tr w:rsidR="000612FE" w:rsidRPr="000612FE" w:rsidTr="00B416B3">
        <w:trPr>
          <w:trHeight w:val="255"/>
        </w:trPr>
        <w:tc>
          <w:tcPr>
            <w:tcW w:w="7927" w:type="dxa"/>
            <w:tcBorders>
              <w:top w:val="dotted" w:sz="4" w:space="0" w:color="auto"/>
            </w:tcBorders>
            <w:shd w:val="clear" w:color="auto" w:fill="auto"/>
            <w:noWrap/>
            <w:vAlign w:val="center"/>
          </w:tcPr>
          <w:p w:rsidR="000612FE" w:rsidRPr="000612FE" w:rsidRDefault="000612FE" w:rsidP="000612FE">
            <w:pPr>
              <w:widowControl w:val="0"/>
              <w:ind w:left="720" w:hanging="720"/>
              <w:rPr>
                <w:b/>
                <w:sz w:val="22"/>
                <w:szCs w:val="22"/>
                <w:lang w:val="en"/>
              </w:rPr>
            </w:pPr>
            <w:r w:rsidRPr="000612FE">
              <w:rPr>
                <w:b/>
                <w:sz w:val="22"/>
                <w:szCs w:val="22"/>
                <w:lang w:val="en"/>
              </w:rPr>
              <w:t>Forecast Net Expenditure on Services</w:t>
            </w:r>
          </w:p>
        </w:tc>
        <w:tc>
          <w:tcPr>
            <w:tcW w:w="1276" w:type="dxa"/>
            <w:tcBorders>
              <w:top w:val="single" w:sz="4" w:space="0" w:color="auto"/>
              <w:bottom w:val="single" w:sz="4" w:space="0" w:color="auto"/>
            </w:tcBorders>
            <w:shd w:val="clear" w:color="auto" w:fill="auto"/>
            <w:noWrap/>
            <w:vAlign w:val="center"/>
          </w:tcPr>
          <w:p w:rsidR="000612FE" w:rsidRPr="000612FE" w:rsidRDefault="000612FE" w:rsidP="00D225A9">
            <w:pPr>
              <w:widowControl w:val="0"/>
              <w:ind w:left="720" w:hanging="720"/>
              <w:jc w:val="center"/>
              <w:rPr>
                <w:b/>
                <w:sz w:val="22"/>
                <w:szCs w:val="22"/>
              </w:rPr>
            </w:pPr>
            <w:r w:rsidRPr="000612FE">
              <w:rPr>
                <w:b/>
                <w:sz w:val="22"/>
                <w:szCs w:val="22"/>
              </w:rPr>
              <w:t>11,790</w:t>
            </w:r>
          </w:p>
        </w:tc>
      </w:tr>
    </w:tbl>
    <w:p w:rsidR="000612FE" w:rsidRPr="007E7326" w:rsidRDefault="000612FE" w:rsidP="000612FE">
      <w:pPr>
        <w:widowControl w:val="0"/>
        <w:ind w:left="720" w:hanging="720"/>
        <w:rPr>
          <w:sz w:val="16"/>
          <w:szCs w:val="16"/>
        </w:rPr>
      </w:pPr>
    </w:p>
    <w:p w:rsidR="000612FE" w:rsidRPr="00D225A9" w:rsidRDefault="000612FE" w:rsidP="000612FE">
      <w:pPr>
        <w:widowControl w:val="0"/>
        <w:ind w:left="720" w:hanging="720"/>
        <w:rPr>
          <w:sz w:val="16"/>
          <w:szCs w:val="16"/>
        </w:rPr>
      </w:pPr>
      <w:r w:rsidRPr="000612FE">
        <w:rPr>
          <w:sz w:val="22"/>
          <w:szCs w:val="22"/>
        </w:rPr>
        <w:tab/>
      </w:r>
      <w:r w:rsidRPr="00D225A9">
        <w:rPr>
          <w:sz w:val="16"/>
          <w:szCs w:val="16"/>
        </w:rPr>
        <w:t>Note: P/U = 2015/16 Planned Underspend.  Budget carried forward to be spent in the current year (with corresponding saving shown in the 2015/16 financial year).</w:t>
      </w:r>
      <w:r w:rsidRPr="00D225A9">
        <w:rPr>
          <w:sz w:val="16"/>
          <w:szCs w:val="16"/>
        </w:rPr>
        <w:tab/>
      </w:r>
    </w:p>
    <w:p w:rsidR="000612FE" w:rsidRPr="007E7326" w:rsidRDefault="000612FE" w:rsidP="000612FE">
      <w:pPr>
        <w:widowControl w:val="0"/>
        <w:ind w:left="720" w:hanging="720"/>
        <w:rPr>
          <w:sz w:val="18"/>
          <w:szCs w:val="18"/>
        </w:rPr>
      </w:pPr>
    </w:p>
    <w:p w:rsidR="000612FE" w:rsidRPr="000612FE" w:rsidRDefault="000612FE" w:rsidP="000612FE">
      <w:pPr>
        <w:widowControl w:val="0"/>
        <w:ind w:left="720" w:hanging="720"/>
        <w:rPr>
          <w:sz w:val="22"/>
          <w:szCs w:val="22"/>
        </w:rPr>
      </w:pPr>
      <w:r w:rsidRPr="000612FE">
        <w:rPr>
          <w:sz w:val="22"/>
          <w:szCs w:val="22"/>
        </w:rPr>
        <w:tab/>
        <w:t xml:space="preserve">This shows that net expenditure on services is forecast to be £0.675m more than the original budget.  </w:t>
      </w:r>
    </w:p>
    <w:p w:rsidR="000612FE" w:rsidRPr="000612FE" w:rsidRDefault="000612FE" w:rsidP="000612FE">
      <w:pPr>
        <w:widowControl w:val="0"/>
        <w:ind w:left="720" w:hanging="720"/>
        <w:rPr>
          <w:sz w:val="22"/>
          <w:szCs w:val="22"/>
        </w:rPr>
      </w:pPr>
    </w:p>
    <w:p w:rsidR="000612FE" w:rsidRPr="000612FE" w:rsidRDefault="000E3391" w:rsidP="00BC4E78">
      <w:pPr>
        <w:widowControl w:val="0"/>
        <w:numPr>
          <w:ilvl w:val="1"/>
          <w:numId w:val="10"/>
        </w:numPr>
        <w:rPr>
          <w:sz w:val="22"/>
          <w:szCs w:val="22"/>
        </w:rPr>
      </w:pPr>
      <w:r>
        <w:rPr>
          <w:sz w:val="22"/>
          <w:szCs w:val="22"/>
        </w:rPr>
        <w:tab/>
      </w:r>
      <w:r w:rsidR="000612FE" w:rsidRPr="000612FE">
        <w:rPr>
          <w:sz w:val="22"/>
          <w:szCs w:val="22"/>
        </w:rPr>
        <w:t xml:space="preserve">Employee costs are by far the major cost item in the Council’s overall budget.  This </w:t>
      </w:r>
      <w:r w:rsidR="004B01C7">
        <w:rPr>
          <w:sz w:val="22"/>
          <w:szCs w:val="22"/>
        </w:rPr>
        <w:tab/>
      </w:r>
      <w:r w:rsidR="000612FE" w:rsidRPr="000612FE">
        <w:rPr>
          <w:sz w:val="22"/>
          <w:szCs w:val="22"/>
        </w:rPr>
        <w:t xml:space="preserve">budget is controlled centrally and quarterly Salary Control reports are distributed to the </w:t>
      </w:r>
      <w:r w:rsidR="00CD35C6">
        <w:rPr>
          <w:sz w:val="22"/>
          <w:szCs w:val="22"/>
        </w:rPr>
        <w:tab/>
      </w:r>
      <w:r w:rsidR="000612FE" w:rsidRPr="000612FE">
        <w:rPr>
          <w:sz w:val="22"/>
          <w:szCs w:val="22"/>
        </w:rPr>
        <w:t>Corporate Leadership Team for them to mo</w:t>
      </w:r>
      <w:r w:rsidR="00CD35C6">
        <w:rPr>
          <w:sz w:val="22"/>
          <w:szCs w:val="22"/>
        </w:rPr>
        <w:t xml:space="preserve">nitor their staffing budgets. </w:t>
      </w:r>
      <w:r w:rsidR="000612FE" w:rsidRPr="000612FE">
        <w:rPr>
          <w:sz w:val="22"/>
          <w:szCs w:val="22"/>
        </w:rPr>
        <w:t xml:space="preserve"> Since this target </w:t>
      </w:r>
      <w:r w:rsidR="00CD35C6">
        <w:rPr>
          <w:sz w:val="22"/>
          <w:szCs w:val="22"/>
        </w:rPr>
        <w:tab/>
      </w:r>
      <w:r w:rsidR="000612FE" w:rsidRPr="000612FE">
        <w:rPr>
          <w:sz w:val="22"/>
          <w:szCs w:val="22"/>
        </w:rPr>
        <w:t xml:space="preserve">was introduced, additional staff commitments have been approved for the current year, </w:t>
      </w:r>
      <w:r w:rsidR="00CD35C6">
        <w:rPr>
          <w:sz w:val="22"/>
          <w:szCs w:val="22"/>
        </w:rPr>
        <w:tab/>
      </w:r>
      <w:r w:rsidR="000612FE" w:rsidRPr="000612FE">
        <w:rPr>
          <w:sz w:val="22"/>
          <w:szCs w:val="22"/>
        </w:rPr>
        <w:t xml:space="preserve">some of which are to be met from savings/additional income generation.  All additional net </w:t>
      </w:r>
      <w:r w:rsidR="00CD35C6">
        <w:rPr>
          <w:sz w:val="22"/>
          <w:szCs w:val="22"/>
        </w:rPr>
        <w:tab/>
      </w:r>
      <w:r w:rsidR="000612FE" w:rsidRPr="000612FE">
        <w:rPr>
          <w:sz w:val="22"/>
          <w:szCs w:val="22"/>
        </w:rPr>
        <w:t xml:space="preserve">costs from these posts have been included in table 2 against the relevant service areas.  </w:t>
      </w:r>
    </w:p>
    <w:p w:rsidR="000612FE" w:rsidRPr="007E7326" w:rsidRDefault="000612FE" w:rsidP="000612FE">
      <w:pPr>
        <w:widowControl w:val="0"/>
        <w:ind w:left="720" w:hanging="720"/>
        <w:rPr>
          <w:sz w:val="16"/>
          <w:szCs w:val="16"/>
        </w:rPr>
      </w:pPr>
    </w:p>
    <w:p w:rsidR="000612FE" w:rsidRPr="000612FE" w:rsidRDefault="000E3391" w:rsidP="00BC4E78">
      <w:pPr>
        <w:widowControl w:val="0"/>
        <w:numPr>
          <w:ilvl w:val="1"/>
          <w:numId w:val="10"/>
        </w:numPr>
        <w:rPr>
          <w:sz w:val="22"/>
          <w:szCs w:val="22"/>
        </w:rPr>
      </w:pPr>
      <w:r>
        <w:rPr>
          <w:sz w:val="22"/>
          <w:szCs w:val="22"/>
        </w:rPr>
        <w:tab/>
      </w:r>
      <w:r w:rsidR="000612FE" w:rsidRPr="000612FE">
        <w:rPr>
          <w:sz w:val="22"/>
          <w:szCs w:val="22"/>
        </w:rPr>
        <w:t xml:space="preserve">The 2016/17 budget included a staff turnover/vacancy savings target of £290,000 </w:t>
      </w:r>
      <w:r w:rsidR="004B01C7">
        <w:rPr>
          <w:sz w:val="22"/>
          <w:szCs w:val="22"/>
        </w:rPr>
        <w:tab/>
      </w:r>
      <w:r w:rsidR="000612FE" w:rsidRPr="000612FE">
        <w:rPr>
          <w:sz w:val="22"/>
          <w:szCs w:val="22"/>
        </w:rPr>
        <w:t xml:space="preserve">plus a further £50,000 from the resources restructure (reported to this Committee in </w:t>
      </w:r>
      <w:r w:rsidR="004B01C7">
        <w:rPr>
          <w:sz w:val="22"/>
          <w:szCs w:val="22"/>
        </w:rPr>
        <w:tab/>
      </w:r>
      <w:r w:rsidR="000612FE" w:rsidRPr="000612FE">
        <w:rPr>
          <w:sz w:val="22"/>
          <w:szCs w:val="22"/>
        </w:rPr>
        <w:t xml:space="preserve">June 2016).  The turnover/vacancy savings target was set against the salary budget for all </w:t>
      </w:r>
      <w:r w:rsidR="00CD35C6">
        <w:rPr>
          <w:sz w:val="22"/>
          <w:szCs w:val="22"/>
        </w:rPr>
        <w:tab/>
      </w:r>
      <w:r w:rsidR="000612FE" w:rsidRPr="000612FE">
        <w:rPr>
          <w:sz w:val="22"/>
          <w:szCs w:val="22"/>
        </w:rPr>
        <w:t xml:space="preserve">officers with the exception of some frontline services where filling vacancies with agency or </w:t>
      </w:r>
      <w:r w:rsidR="00CD35C6">
        <w:rPr>
          <w:sz w:val="22"/>
          <w:szCs w:val="22"/>
        </w:rPr>
        <w:tab/>
      </w:r>
      <w:r w:rsidR="000612FE" w:rsidRPr="000612FE">
        <w:rPr>
          <w:sz w:val="22"/>
          <w:szCs w:val="22"/>
        </w:rPr>
        <w:t xml:space="preserve">temporary staff is imperative in order to keep the service running (e.g. refuse collection, </w:t>
      </w:r>
      <w:r w:rsidR="00CD35C6">
        <w:rPr>
          <w:sz w:val="22"/>
          <w:szCs w:val="22"/>
        </w:rPr>
        <w:tab/>
      </w:r>
      <w:r w:rsidR="000612FE" w:rsidRPr="000612FE">
        <w:rPr>
          <w:sz w:val="22"/>
          <w:szCs w:val="22"/>
        </w:rPr>
        <w:t xml:space="preserve">street cleansing, day centre transport </w:t>
      </w:r>
      <w:proofErr w:type="spellStart"/>
      <w:r w:rsidR="000612FE" w:rsidRPr="000612FE">
        <w:rPr>
          <w:sz w:val="22"/>
          <w:szCs w:val="22"/>
        </w:rPr>
        <w:t>etc</w:t>
      </w:r>
      <w:proofErr w:type="spellEnd"/>
      <w:r w:rsidR="000612FE" w:rsidRPr="000612FE">
        <w:rPr>
          <w:sz w:val="22"/>
          <w:szCs w:val="22"/>
        </w:rPr>
        <w:t xml:space="preserve">).  These targets have been built into the Current </w:t>
      </w:r>
      <w:r w:rsidR="00CD35C6">
        <w:rPr>
          <w:sz w:val="22"/>
          <w:szCs w:val="22"/>
        </w:rPr>
        <w:tab/>
      </w:r>
      <w:r w:rsidR="000612FE" w:rsidRPr="000612FE">
        <w:rPr>
          <w:sz w:val="22"/>
          <w:szCs w:val="22"/>
        </w:rPr>
        <w:t xml:space="preserve">Budget column in table 3 below, which monitors the current staffing spend against the </w:t>
      </w:r>
      <w:r w:rsidR="00CD35C6">
        <w:rPr>
          <w:sz w:val="22"/>
          <w:szCs w:val="22"/>
        </w:rPr>
        <w:tab/>
      </w:r>
      <w:r w:rsidR="000612FE" w:rsidRPr="000612FE">
        <w:rPr>
          <w:sz w:val="22"/>
          <w:szCs w:val="22"/>
        </w:rPr>
        <w:t xml:space="preserve">expected budget </w:t>
      </w:r>
      <w:r w:rsidR="00CD35C6">
        <w:rPr>
          <w:sz w:val="22"/>
          <w:szCs w:val="22"/>
        </w:rPr>
        <w:t xml:space="preserve">spend for the period to date.  </w:t>
      </w:r>
      <w:r w:rsidR="000612FE" w:rsidRPr="000612FE">
        <w:rPr>
          <w:sz w:val="22"/>
          <w:szCs w:val="22"/>
        </w:rPr>
        <w:t xml:space="preserve">This shows that as at the 30 June, the salary </w:t>
      </w:r>
      <w:r w:rsidR="00CD35C6">
        <w:rPr>
          <w:sz w:val="22"/>
          <w:szCs w:val="22"/>
        </w:rPr>
        <w:tab/>
      </w:r>
      <w:r w:rsidR="000612FE" w:rsidRPr="000612FE">
        <w:rPr>
          <w:sz w:val="22"/>
          <w:szCs w:val="22"/>
        </w:rPr>
        <w:t>budget is overspent by £11,000 (excluding employer’s costs).  It i</w:t>
      </w:r>
      <w:r w:rsidR="004B01C7">
        <w:rPr>
          <w:sz w:val="22"/>
          <w:szCs w:val="22"/>
        </w:rPr>
        <w:t xml:space="preserve">s assumed in Table 2 </w:t>
      </w:r>
      <w:r w:rsidR="00CD35C6">
        <w:rPr>
          <w:sz w:val="22"/>
          <w:szCs w:val="22"/>
        </w:rPr>
        <w:tab/>
      </w:r>
      <w:r w:rsidR="004B01C7">
        <w:rPr>
          <w:sz w:val="22"/>
          <w:szCs w:val="22"/>
        </w:rPr>
        <w:t>above that</w:t>
      </w:r>
      <w:r w:rsidR="006622AF">
        <w:rPr>
          <w:sz w:val="22"/>
          <w:szCs w:val="22"/>
        </w:rPr>
        <w:t xml:space="preserve"> </w:t>
      </w:r>
      <w:r w:rsidR="000612FE" w:rsidRPr="000612FE">
        <w:rPr>
          <w:sz w:val="22"/>
          <w:szCs w:val="22"/>
        </w:rPr>
        <w:t>this will be saved by the year end.</w:t>
      </w:r>
    </w:p>
    <w:p w:rsidR="000612FE" w:rsidRPr="007E7326" w:rsidRDefault="000612FE" w:rsidP="000612FE">
      <w:pPr>
        <w:widowControl w:val="0"/>
        <w:ind w:left="720" w:hanging="720"/>
        <w:rPr>
          <w:sz w:val="18"/>
          <w:szCs w:val="18"/>
        </w:rPr>
      </w:pPr>
    </w:p>
    <w:tbl>
      <w:tblPr>
        <w:tblW w:w="8494"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885"/>
        <w:gridCol w:w="1130"/>
        <w:gridCol w:w="1134"/>
        <w:gridCol w:w="1126"/>
        <w:gridCol w:w="1219"/>
      </w:tblGrid>
      <w:tr w:rsidR="000612FE" w:rsidRPr="000612FE" w:rsidTr="000612FE">
        <w:trPr>
          <w:trHeight w:val="255"/>
        </w:trPr>
        <w:tc>
          <w:tcPr>
            <w:tcW w:w="8494" w:type="dxa"/>
            <w:gridSpan w:val="5"/>
            <w:shd w:val="clear" w:color="auto" w:fill="BFBFBF" w:themeFill="background1" w:themeFillShade="BF"/>
          </w:tcPr>
          <w:p w:rsidR="000612FE" w:rsidRPr="000612FE" w:rsidRDefault="000612FE" w:rsidP="000E3391">
            <w:pPr>
              <w:widowControl w:val="0"/>
              <w:ind w:left="720" w:hanging="720"/>
              <w:jc w:val="center"/>
              <w:rPr>
                <w:sz w:val="22"/>
                <w:szCs w:val="22"/>
              </w:rPr>
            </w:pPr>
            <w:r w:rsidRPr="000612FE">
              <w:rPr>
                <w:b/>
                <w:bCs/>
                <w:sz w:val="22"/>
                <w:szCs w:val="22"/>
              </w:rPr>
              <w:t>Table 3 – Current salary budget performance</w:t>
            </w:r>
          </w:p>
        </w:tc>
      </w:tr>
      <w:tr w:rsidR="000E3391" w:rsidRPr="000612FE" w:rsidTr="000E3391">
        <w:trPr>
          <w:trHeight w:val="255"/>
        </w:trPr>
        <w:tc>
          <w:tcPr>
            <w:tcW w:w="3937" w:type="dxa"/>
            <w:shd w:val="clear" w:color="auto" w:fill="auto"/>
            <w:vAlign w:val="center"/>
          </w:tcPr>
          <w:p w:rsidR="000E3391" w:rsidRPr="000612FE" w:rsidRDefault="000E3391" w:rsidP="000612FE">
            <w:pPr>
              <w:widowControl w:val="0"/>
              <w:ind w:left="720" w:hanging="720"/>
              <w:rPr>
                <w:sz w:val="22"/>
                <w:szCs w:val="22"/>
              </w:rPr>
            </w:pPr>
          </w:p>
        </w:tc>
        <w:tc>
          <w:tcPr>
            <w:tcW w:w="1133" w:type="dxa"/>
            <w:shd w:val="clear" w:color="auto" w:fill="auto"/>
            <w:vAlign w:val="center"/>
          </w:tcPr>
          <w:p w:rsidR="000E3391" w:rsidRPr="000612FE" w:rsidRDefault="000E3391" w:rsidP="000612FE">
            <w:pPr>
              <w:widowControl w:val="0"/>
              <w:ind w:left="720" w:hanging="720"/>
              <w:rPr>
                <w:b/>
                <w:sz w:val="22"/>
                <w:szCs w:val="22"/>
              </w:rPr>
            </w:pPr>
            <w:r w:rsidRPr="000612FE">
              <w:rPr>
                <w:b/>
                <w:sz w:val="22"/>
                <w:szCs w:val="22"/>
              </w:rPr>
              <w:t>Current</w:t>
            </w:r>
          </w:p>
          <w:p w:rsidR="000E3391" w:rsidRPr="000612FE" w:rsidRDefault="000E3391" w:rsidP="000612FE">
            <w:pPr>
              <w:widowControl w:val="0"/>
              <w:ind w:left="720" w:hanging="720"/>
              <w:rPr>
                <w:b/>
                <w:sz w:val="22"/>
                <w:szCs w:val="22"/>
              </w:rPr>
            </w:pPr>
            <w:r w:rsidRPr="000612FE">
              <w:rPr>
                <w:b/>
                <w:sz w:val="22"/>
                <w:szCs w:val="22"/>
              </w:rPr>
              <w:t>Budget</w:t>
            </w:r>
          </w:p>
          <w:p w:rsidR="000E3391" w:rsidRPr="000612FE" w:rsidRDefault="000E3391" w:rsidP="000612FE">
            <w:pPr>
              <w:widowControl w:val="0"/>
              <w:ind w:left="720" w:hanging="720"/>
              <w:rPr>
                <w:b/>
                <w:sz w:val="22"/>
                <w:szCs w:val="22"/>
              </w:rPr>
            </w:pPr>
            <w:r w:rsidRPr="000612FE">
              <w:rPr>
                <w:b/>
                <w:sz w:val="22"/>
                <w:szCs w:val="22"/>
              </w:rPr>
              <w:t>£000</w:t>
            </w:r>
          </w:p>
        </w:tc>
        <w:tc>
          <w:tcPr>
            <w:tcW w:w="1134" w:type="dxa"/>
            <w:shd w:val="clear" w:color="auto" w:fill="auto"/>
            <w:noWrap/>
            <w:vAlign w:val="bottom"/>
          </w:tcPr>
          <w:p w:rsidR="000E3391" w:rsidRPr="000612FE" w:rsidRDefault="000E3391" w:rsidP="000612FE">
            <w:pPr>
              <w:widowControl w:val="0"/>
              <w:ind w:left="720" w:hanging="720"/>
              <w:rPr>
                <w:b/>
                <w:bCs/>
                <w:sz w:val="22"/>
                <w:szCs w:val="22"/>
              </w:rPr>
            </w:pPr>
            <w:r w:rsidRPr="000612FE">
              <w:rPr>
                <w:b/>
                <w:bCs/>
                <w:sz w:val="22"/>
                <w:szCs w:val="22"/>
              </w:rPr>
              <w:t>Profiled</w:t>
            </w:r>
          </w:p>
          <w:p w:rsidR="000E3391" w:rsidRPr="000612FE" w:rsidRDefault="000E3391" w:rsidP="000612FE">
            <w:pPr>
              <w:widowControl w:val="0"/>
              <w:ind w:left="720" w:hanging="720"/>
              <w:rPr>
                <w:b/>
                <w:bCs/>
                <w:sz w:val="22"/>
                <w:szCs w:val="22"/>
              </w:rPr>
            </w:pPr>
            <w:r w:rsidRPr="000612FE">
              <w:rPr>
                <w:b/>
                <w:bCs/>
                <w:sz w:val="22"/>
                <w:szCs w:val="22"/>
              </w:rPr>
              <w:t>Budget</w:t>
            </w:r>
          </w:p>
          <w:p w:rsidR="000E3391" w:rsidRPr="000612FE" w:rsidRDefault="000E3391" w:rsidP="000612FE">
            <w:pPr>
              <w:widowControl w:val="0"/>
              <w:ind w:left="720" w:hanging="720"/>
              <w:rPr>
                <w:b/>
                <w:bCs/>
                <w:sz w:val="22"/>
                <w:szCs w:val="22"/>
              </w:rPr>
            </w:pPr>
            <w:r w:rsidRPr="000612FE">
              <w:rPr>
                <w:b/>
                <w:bCs/>
                <w:sz w:val="22"/>
                <w:szCs w:val="22"/>
              </w:rPr>
              <w:t>£000</w:t>
            </w:r>
          </w:p>
        </w:tc>
        <w:tc>
          <w:tcPr>
            <w:tcW w:w="1132" w:type="dxa"/>
          </w:tcPr>
          <w:p w:rsidR="000E3391" w:rsidRPr="000612FE" w:rsidRDefault="000E3391" w:rsidP="000612FE">
            <w:pPr>
              <w:widowControl w:val="0"/>
              <w:ind w:left="720" w:hanging="720"/>
              <w:rPr>
                <w:b/>
                <w:bCs/>
                <w:sz w:val="22"/>
                <w:szCs w:val="22"/>
              </w:rPr>
            </w:pPr>
            <w:r w:rsidRPr="000612FE">
              <w:rPr>
                <w:b/>
                <w:bCs/>
                <w:sz w:val="22"/>
                <w:szCs w:val="22"/>
              </w:rPr>
              <w:t>Actual</w:t>
            </w:r>
          </w:p>
          <w:p w:rsidR="000E3391" w:rsidRPr="000612FE" w:rsidRDefault="000E3391" w:rsidP="000612FE">
            <w:pPr>
              <w:widowControl w:val="0"/>
              <w:ind w:left="720" w:hanging="720"/>
              <w:rPr>
                <w:b/>
                <w:bCs/>
                <w:sz w:val="22"/>
                <w:szCs w:val="22"/>
              </w:rPr>
            </w:pPr>
            <w:r w:rsidRPr="000612FE">
              <w:rPr>
                <w:b/>
                <w:bCs/>
                <w:sz w:val="22"/>
                <w:szCs w:val="22"/>
              </w:rPr>
              <w:t>to Date</w:t>
            </w:r>
          </w:p>
          <w:p w:rsidR="000E3391" w:rsidRPr="000612FE" w:rsidRDefault="000E3391" w:rsidP="000612FE">
            <w:pPr>
              <w:widowControl w:val="0"/>
              <w:ind w:left="720" w:hanging="720"/>
              <w:rPr>
                <w:b/>
                <w:bCs/>
                <w:sz w:val="22"/>
                <w:szCs w:val="22"/>
              </w:rPr>
            </w:pPr>
            <w:r w:rsidRPr="000612FE">
              <w:rPr>
                <w:b/>
                <w:bCs/>
                <w:sz w:val="22"/>
                <w:szCs w:val="22"/>
              </w:rPr>
              <w:t>£000</w:t>
            </w:r>
          </w:p>
        </w:tc>
        <w:tc>
          <w:tcPr>
            <w:tcW w:w="1158" w:type="dxa"/>
          </w:tcPr>
          <w:p w:rsidR="000E3391" w:rsidRPr="000612FE" w:rsidRDefault="000E3391" w:rsidP="00E02B98">
            <w:pPr>
              <w:widowControl w:val="0"/>
              <w:ind w:left="720" w:hanging="720"/>
              <w:rPr>
                <w:b/>
                <w:bCs/>
                <w:sz w:val="22"/>
                <w:szCs w:val="22"/>
              </w:rPr>
            </w:pPr>
            <w:proofErr w:type="spellStart"/>
            <w:r>
              <w:rPr>
                <w:b/>
                <w:bCs/>
                <w:sz w:val="22"/>
                <w:szCs w:val="22"/>
              </w:rPr>
              <w:t>Variation</w:t>
            </w:r>
            <w:r w:rsidRPr="000612FE">
              <w:rPr>
                <w:b/>
                <w:bCs/>
                <w:sz w:val="22"/>
                <w:szCs w:val="22"/>
              </w:rPr>
              <w:t>l</w:t>
            </w:r>
            <w:proofErr w:type="spellEnd"/>
          </w:p>
          <w:p w:rsidR="000E3391" w:rsidRPr="000612FE" w:rsidRDefault="000E3391" w:rsidP="00E02B98">
            <w:pPr>
              <w:widowControl w:val="0"/>
              <w:ind w:left="720" w:hanging="720"/>
              <w:rPr>
                <w:b/>
                <w:bCs/>
                <w:sz w:val="22"/>
                <w:szCs w:val="22"/>
              </w:rPr>
            </w:pPr>
            <w:r w:rsidRPr="000612FE">
              <w:rPr>
                <w:b/>
                <w:bCs/>
                <w:sz w:val="22"/>
                <w:szCs w:val="22"/>
              </w:rPr>
              <w:t>to Date</w:t>
            </w:r>
          </w:p>
          <w:p w:rsidR="000E3391" w:rsidRPr="000612FE" w:rsidRDefault="000E3391" w:rsidP="00E02B98">
            <w:pPr>
              <w:widowControl w:val="0"/>
              <w:ind w:left="720" w:hanging="720"/>
              <w:rPr>
                <w:b/>
                <w:bCs/>
                <w:sz w:val="22"/>
                <w:szCs w:val="22"/>
              </w:rPr>
            </w:pPr>
            <w:r w:rsidRPr="000612FE">
              <w:rPr>
                <w:b/>
                <w:bCs/>
                <w:sz w:val="22"/>
                <w:szCs w:val="22"/>
              </w:rPr>
              <w:t>£000</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sz w:val="22"/>
                <w:szCs w:val="22"/>
              </w:rPr>
            </w:pPr>
            <w:r w:rsidRPr="000612FE">
              <w:rPr>
                <w:sz w:val="22"/>
                <w:szCs w:val="22"/>
              </w:rPr>
              <w:t>Corporate Office</w:t>
            </w:r>
          </w:p>
        </w:tc>
        <w:tc>
          <w:tcPr>
            <w:tcW w:w="1133" w:type="dxa"/>
            <w:shd w:val="clear" w:color="auto" w:fill="auto"/>
            <w:vAlign w:val="center"/>
          </w:tcPr>
          <w:p w:rsidR="000612FE" w:rsidRPr="000612FE" w:rsidRDefault="000612FE" w:rsidP="000E3391">
            <w:pPr>
              <w:widowControl w:val="0"/>
              <w:ind w:left="720" w:hanging="720"/>
              <w:jc w:val="center"/>
              <w:rPr>
                <w:sz w:val="22"/>
                <w:szCs w:val="22"/>
              </w:rPr>
            </w:pPr>
            <w:r w:rsidRPr="000612FE">
              <w:rPr>
                <w:sz w:val="22"/>
                <w:szCs w:val="22"/>
              </w:rPr>
              <w:t>492</w:t>
            </w:r>
          </w:p>
        </w:tc>
        <w:tc>
          <w:tcPr>
            <w:tcW w:w="1134" w:type="dxa"/>
            <w:shd w:val="clear" w:color="auto" w:fill="auto"/>
            <w:noWrap/>
            <w:vAlign w:val="center"/>
          </w:tcPr>
          <w:p w:rsidR="000612FE" w:rsidRPr="000612FE" w:rsidRDefault="000612FE" w:rsidP="000E3391">
            <w:pPr>
              <w:widowControl w:val="0"/>
              <w:ind w:left="720" w:hanging="720"/>
              <w:jc w:val="center"/>
              <w:rPr>
                <w:sz w:val="22"/>
                <w:szCs w:val="22"/>
              </w:rPr>
            </w:pPr>
            <w:r w:rsidRPr="000612FE">
              <w:rPr>
                <w:sz w:val="22"/>
                <w:szCs w:val="22"/>
              </w:rPr>
              <w:t>122</w:t>
            </w:r>
          </w:p>
        </w:tc>
        <w:tc>
          <w:tcPr>
            <w:tcW w:w="1132" w:type="dxa"/>
            <w:vAlign w:val="center"/>
          </w:tcPr>
          <w:p w:rsidR="000612FE" w:rsidRPr="000612FE" w:rsidRDefault="000612FE" w:rsidP="000E3391">
            <w:pPr>
              <w:widowControl w:val="0"/>
              <w:ind w:left="720" w:hanging="720"/>
              <w:jc w:val="center"/>
              <w:rPr>
                <w:sz w:val="22"/>
                <w:szCs w:val="22"/>
              </w:rPr>
            </w:pPr>
            <w:r w:rsidRPr="000612FE">
              <w:rPr>
                <w:sz w:val="22"/>
                <w:szCs w:val="22"/>
              </w:rPr>
              <w:t>121</w:t>
            </w:r>
          </w:p>
        </w:tc>
        <w:tc>
          <w:tcPr>
            <w:tcW w:w="1158" w:type="dxa"/>
            <w:vAlign w:val="center"/>
          </w:tcPr>
          <w:p w:rsidR="000612FE" w:rsidRPr="000612FE" w:rsidRDefault="000612FE" w:rsidP="000E3391">
            <w:pPr>
              <w:widowControl w:val="0"/>
              <w:ind w:left="720" w:hanging="720"/>
              <w:jc w:val="center"/>
              <w:rPr>
                <w:sz w:val="22"/>
                <w:szCs w:val="22"/>
              </w:rPr>
            </w:pPr>
            <w:r w:rsidRPr="000612FE">
              <w:rPr>
                <w:sz w:val="22"/>
                <w:szCs w:val="22"/>
              </w:rPr>
              <w:t>(1)</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sz w:val="22"/>
                <w:szCs w:val="22"/>
              </w:rPr>
            </w:pPr>
            <w:r w:rsidRPr="000612FE">
              <w:rPr>
                <w:sz w:val="22"/>
                <w:szCs w:val="22"/>
              </w:rPr>
              <w:t>Law &amp; Governance</w:t>
            </w:r>
          </w:p>
        </w:tc>
        <w:tc>
          <w:tcPr>
            <w:tcW w:w="1133" w:type="dxa"/>
            <w:shd w:val="clear" w:color="auto" w:fill="auto"/>
            <w:vAlign w:val="center"/>
          </w:tcPr>
          <w:p w:rsidR="000612FE" w:rsidRPr="000612FE" w:rsidRDefault="000612FE" w:rsidP="000E3391">
            <w:pPr>
              <w:widowControl w:val="0"/>
              <w:ind w:left="720" w:hanging="720"/>
              <w:jc w:val="center"/>
              <w:rPr>
                <w:sz w:val="22"/>
                <w:szCs w:val="22"/>
              </w:rPr>
            </w:pPr>
            <w:r w:rsidRPr="000612FE">
              <w:rPr>
                <w:sz w:val="22"/>
                <w:szCs w:val="22"/>
              </w:rPr>
              <w:t>747</w:t>
            </w:r>
          </w:p>
        </w:tc>
        <w:tc>
          <w:tcPr>
            <w:tcW w:w="1134" w:type="dxa"/>
            <w:shd w:val="clear" w:color="auto" w:fill="auto"/>
            <w:noWrap/>
            <w:vAlign w:val="center"/>
          </w:tcPr>
          <w:p w:rsidR="000612FE" w:rsidRPr="000612FE" w:rsidRDefault="000612FE" w:rsidP="000E3391">
            <w:pPr>
              <w:widowControl w:val="0"/>
              <w:ind w:left="720" w:hanging="720"/>
              <w:jc w:val="center"/>
              <w:rPr>
                <w:sz w:val="22"/>
                <w:szCs w:val="22"/>
              </w:rPr>
            </w:pPr>
            <w:r w:rsidRPr="000612FE">
              <w:rPr>
                <w:sz w:val="22"/>
                <w:szCs w:val="22"/>
              </w:rPr>
              <w:t>185</w:t>
            </w:r>
          </w:p>
        </w:tc>
        <w:tc>
          <w:tcPr>
            <w:tcW w:w="1132" w:type="dxa"/>
            <w:vAlign w:val="center"/>
          </w:tcPr>
          <w:p w:rsidR="000612FE" w:rsidRPr="000612FE" w:rsidRDefault="000612FE" w:rsidP="000E3391">
            <w:pPr>
              <w:widowControl w:val="0"/>
              <w:ind w:left="720" w:hanging="720"/>
              <w:jc w:val="center"/>
              <w:rPr>
                <w:sz w:val="22"/>
                <w:szCs w:val="22"/>
              </w:rPr>
            </w:pPr>
            <w:r w:rsidRPr="000612FE">
              <w:rPr>
                <w:sz w:val="22"/>
                <w:szCs w:val="22"/>
              </w:rPr>
              <w:t>197</w:t>
            </w:r>
          </w:p>
        </w:tc>
        <w:tc>
          <w:tcPr>
            <w:tcW w:w="1158" w:type="dxa"/>
            <w:vAlign w:val="center"/>
          </w:tcPr>
          <w:p w:rsidR="000612FE" w:rsidRPr="000612FE" w:rsidRDefault="000612FE" w:rsidP="000E3391">
            <w:pPr>
              <w:widowControl w:val="0"/>
              <w:ind w:left="720" w:hanging="720"/>
              <w:jc w:val="center"/>
              <w:rPr>
                <w:sz w:val="22"/>
                <w:szCs w:val="22"/>
              </w:rPr>
            </w:pPr>
            <w:r w:rsidRPr="000612FE">
              <w:rPr>
                <w:sz w:val="22"/>
                <w:szCs w:val="22"/>
              </w:rPr>
              <w:t>12</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sz w:val="22"/>
                <w:szCs w:val="22"/>
              </w:rPr>
            </w:pPr>
            <w:r w:rsidRPr="000612FE">
              <w:rPr>
                <w:sz w:val="22"/>
                <w:szCs w:val="22"/>
              </w:rPr>
              <w:t xml:space="preserve">Resources </w:t>
            </w:r>
          </w:p>
        </w:tc>
        <w:tc>
          <w:tcPr>
            <w:tcW w:w="1133" w:type="dxa"/>
            <w:shd w:val="clear" w:color="auto" w:fill="auto"/>
            <w:vAlign w:val="center"/>
          </w:tcPr>
          <w:p w:rsidR="000612FE" w:rsidRPr="000612FE" w:rsidRDefault="000612FE" w:rsidP="000E3391">
            <w:pPr>
              <w:widowControl w:val="0"/>
              <w:ind w:left="720" w:hanging="720"/>
              <w:jc w:val="center"/>
              <w:rPr>
                <w:sz w:val="22"/>
                <w:szCs w:val="22"/>
              </w:rPr>
            </w:pPr>
            <w:r w:rsidRPr="000612FE">
              <w:rPr>
                <w:sz w:val="22"/>
                <w:szCs w:val="22"/>
              </w:rPr>
              <w:t>2,691</w:t>
            </w:r>
          </w:p>
        </w:tc>
        <w:tc>
          <w:tcPr>
            <w:tcW w:w="1134" w:type="dxa"/>
            <w:shd w:val="clear" w:color="auto" w:fill="auto"/>
            <w:noWrap/>
            <w:vAlign w:val="center"/>
          </w:tcPr>
          <w:p w:rsidR="000612FE" w:rsidRPr="000612FE" w:rsidRDefault="000612FE" w:rsidP="000E3391">
            <w:pPr>
              <w:widowControl w:val="0"/>
              <w:ind w:left="720" w:hanging="720"/>
              <w:jc w:val="center"/>
              <w:rPr>
                <w:sz w:val="22"/>
                <w:szCs w:val="22"/>
              </w:rPr>
            </w:pPr>
            <w:r w:rsidRPr="000612FE">
              <w:rPr>
                <w:sz w:val="22"/>
                <w:szCs w:val="22"/>
              </w:rPr>
              <w:t>666</w:t>
            </w:r>
          </w:p>
        </w:tc>
        <w:tc>
          <w:tcPr>
            <w:tcW w:w="1132" w:type="dxa"/>
            <w:vAlign w:val="center"/>
          </w:tcPr>
          <w:p w:rsidR="000612FE" w:rsidRPr="000612FE" w:rsidRDefault="000612FE" w:rsidP="000E3391">
            <w:pPr>
              <w:widowControl w:val="0"/>
              <w:ind w:left="720" w:hanging="720"/>
              <w:jc w:val="center"/>
              <w:rPr>
                <w:sz w:val="22"/>
                <w:szCs w:val="22"/>
              </w:rPr>
            </w:pPr>
            <w:r w:rsidRPr="000612FE">
              <w:rPr>
                <w:sz w:val="22"/>
                <w:szCs w:val="22"/>
              </w:rPr>
              <w:t>684</w:t>
            </w:r>
          </w:p>
        </w:tc>
        <w:tc>
          <w:tcPr>
            <w:tcW w:w="1158" w:type="dxa"/>
            <w:vAlign w:val="center"/>
          </w:tcPr>
          <w:p w:rsidR="000612FE" w:rsidRPr="000612FE" w:rsidRDefault="000612FE" w:rsidP="000E3391">
            <w:pPr>
              <w:widowControl w:val="0"/>
              <w:ind w:left="720" w:hanging="720"/>
              <w:jc w:val="center"/>
              <w:rPr>
                <w:sz w:val="22"/>
                <w:szCs w:val="22"/>
              </w:rPr>
            </w:pPr>
            <w:r w:rsidRPr="000612FE">
              <w:rPr>
                <w:sz w:val="22"/>
                <w:szCs w:val="22"/>
              </w:rPr>
              <w:t>18</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sz w:val="22"/>
                <w:szCs w:val="22"/>
              </w:rPr>
            </w:pPr>
            <w:r w:rsidRPr="000612FE">
              <w:rPr>
                <w:sz w:val="22"/>
                <w:szCs w:val="22"/>
              </w:rPr>
              <w:t>Planning &amp; Environmental</w:t>
            </w:r>
          </w:p>
        </w:tc>
        <w:tc>
          <w:tcPr>
            <w:tcW w:w="1133" w:type="dxa"/>
            <w:shd w:val="clear" w:color="auto" w:fill="auto"/>
            <w:vAlign w:val="center"/>
          </w:tcPr>
          <w:p w:rsidR="000612FE" w:rsidRPr="000612FE" w:rsidRDefault="000612FE" w:rsidP="000E3391">
            <w:pPr>
              <w:widowControl w:val="0"/>
              <w:ind w:left="720" w:hanging="720"/>
              <w:jc w:val="center"/>
              <w:rPr>
                <w:sz w:val="22"/>
                <w:szCs w:val="22"/>
              </w:rPr>
            </w:pPr>
            <w:r w:rsidRPr="000612FE">
              <w:rPr>
                <w:sz w:val="22"/>
                <w:szCs w:val="22"/>
              </w:rPr>
              <w:t>2,735</w:t>
            </w:r>
          </w:p>
        </w:tc>
        <w:tc>
          <w:tcPr>
            <w:tcW w:w="1134" w:type="dxa"/>
            <w:shd w:val="clear" w:color="auto" w:fill="auto"/>
            <w:noWrap/>
            <w:vAlign w:val="center"/>
          </w:tcPr>
          <w:p w:rsidR="000612FE" w:rsidRPr="000612FE" w:rsidRDefault="000612FE" w:rsidP="000E3391">
            <w:pPr>
              <w:widowControl w:val="0"/>
              <w:ind w:left="720" w:hanging="720"/>
              <w:jc w:val="center"/>
              <w:rPr>
                <w:sz w:val="22"/>
                <w:szCs w:val="22"/>
              </w:rPr>
            </w:pPr>
            <w:r w:rsidRPr="000612FE">
              <w:rPr>
                <w:sz w:val="22"/>
                <w:szCs w:val="22"/>
              </w:rPr>
              <w:t>677</w:t>
            </w:r>
          </w:p>
        </w:tc>
        <w:tc>
          <w:tcPr>
            <w:tcW w:w="1132" w:type="dxa"/>
            <w:vAlign w:val="center"/>
          </w:tcPr>
          <w:p w:rsidR="000612FE" w:rsidRPr="000612FE" w:rsidRDefault="000612FE" w:rsidP="000E3391">
            <w:pPr>
              <w:widowControl w:val="0"/>
              <w:ind w:left="720" w:hanging="720"/>
              <w:jc w:val="center"/>
              <w:rPr>
                <w:sz w:val="22"/>
                <w:szCs w:val="22"/>
              </w:rPr>
            </w:pPr>
            <w:r w:rsidRPr="000612FE">
              <w:rPr>
                <w:sz w:val="22"/>
                <w:szCs w:val="22"/>
              </w:rPr>
              <w:t>640</w:t>
            </w:r>
          </w:p>
        </w:tc>
        <w:tc>
          <w:tcPr>
            <w:tcW w:w="1158" w:type="dxa"/>
            <w:vAlign w:val="center"/>
          </w:tcPr>
          <w:p w:rsidR="000612FE" w:rsidRPr="000612FE" w:rsidRDefault="000612FE" w:rsidP="000E3391">
            <w:pPr>
              <w:widowControl w:val="0"/>
              <w:ind w:left="720" w:hanging="720"/>
              <w:jc w:val="center"/>
              <w:rPr>
                <w:sz w:val="22"/>
                <w:szCs w:val="22"/>
              </w:rPr>
            </w:pPr>
            <w:r w:rsidRPr="000612FE">
              <w:rPr>
                <w:sz w:val="22"/>
                <w:szCs w:val="22"/>
              </w:rPr>
              <w:t>(37)</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sz w:val="22"/>
                <w:szCs w:val="22"/>
              </w:rPr>
            </w:pPr>
            <w:r w:rsidRPr="000612FE">
              <w:rPr>
                <w:sz w:val="22"/>
                <w:szCs w:val="22"/>
              </w:rPr>
              <w:t>Housing &amp; Community Development</w:t>
            </w:r>
          </w:p>
        </w:tc>
        <w:tc>
          <w:tcPr>
            <w:tcW w:w="1133" w:type="dxa"/>
            <w:tcBorders>
              <w:bottom w:val="single" w:sz="4" w:space="0" w:color="auto"/>
            </w:tcBorders>
            <w:shd w:val="clear" w:color="auto" w:fill="auto"/>
            <w:vAlign w:val="center"/>
          </w:tcPr>
          <w:p w:rsidR="000612FE" w:rsidRPr="000612FE" w:rsidRDefault="000612FE" w:rsidP="000E3391">
            <w:pPr>
              <w:widowControl w:val="0"/>
              <w:ind w:left="720" w:hanging="720"/>
              <w:jc w:val="center"/>
              <w:rPr>
                <w:sz w:val="22"/>
                <w:szCs w:val="22"/>
              </w:rPr>
            </w:pPr>
            <w:r w:rsidRPr="000612FE">
              <w:rPr>
                <w:sz w:val="22"/>
                <w:szCs w:val="22"/>
              </w:rPr>
              <w:t>2,845</w:t>
            </w:r>
          </w:p>
        </w:tc>
        <w:tc>
          <w:tcPr>
            <w:tcW w:w="1134" w:type="dxa"/>
            <w:tcBorders>
              <w:bottom w:val="single" w:sz="4" w:space="0" w:color="auto"/>
            </w:tcBorders>
            <w:shd w:val="clear" w:color="auto" w:fill="auto"/>
            <w:noWrap/>
            <w:vAlign w:val="center"/>
          </w:tcPr>
          <w:p w:rsidR="000612FE" w:rsidRPr="000612FE" w:rsidRDefault="000612FE" w:rsidP="000E3391">
            <w:pPr>
              <w:widowControl w:val="0"/>
              <w:ind w:left="720" w:hanging="720"/>
              <w:jc w:val="center"/>
              <w:rPr>
                <w:sz w:val="22"/>
                <w:szCs w:val="22"/>
              </w:rPr>
            </w:pPr>
            <w:r w:rsidRPr="000612FE">
              <w:rPr>
                <w:sz w:val="22"/>
                <w:szCs w:val="22"/>
              </w:rPr>
              <w:t>705</w:t>
            </w:r>
          </w:p>
        </w:tc>
        <w:tc>
          <w:tcPr>
            <w:tcW w:w="1132" w:type="dxa"/>
            <w:tcBorders>
              <w:bottom w:val="single" w:sz="4" w:space="0" w:color="auto"/>
            </w:tcBorders>
            <w:vAlign w:val="center"/>
          </w:tcPr>
          <w:p w:rsidR="000612FE" w:rsidRPr="000612FE" w:rsidRDefault="000612FE" w:rsidP="000E3391">
            <w:pPr>
              <w:widowControl w:val="0"/>
              <w:ind w:left="720" w:hanging="720"/>
              <w:jc w:val="center"/>
              <w:rPr>
                <w:sz w:val="22"/>
                <w:szCs w:val="22"/>
              </w:rPr>
            </w:pPr>
            <w:r w:rsidRPr="000612FE">
              <w:rPr>
                <w:sz w:val="22"/>
                <w:szCs w:val="22"/>
              </w:rPr>
              <w:t>724</w:t>
            </w:r>
          </w:p>
        </w:tc>
        <w:tc>
          <w:tcPr>
            <w:tcW w:w="1158" w:type="dxa"/>
            <w:tcBorders>
              <w:bottom w:val="single" w:sz="4" w:space="0" w:color="auto"/>
            </w:tcBorders>
            <w:vAlign w:val="center"/>
          </w:tcPr>
          <w:p w:rsidR="000612FE" w:rsidRPr="000612FE" w:rsidRDefault="000612FE" w:rsidP="000E3391">
            <w:pPr>
              <w:widowControl w:val="0"/>
              <w:ind w:left="720" w:hanging="720"/>
              <w:jc w:val="center"/>
              <w:rPr>
                <w:sz w:val="22"/>
                <w:szCs w:val="22"/>
              </w:rPr>
            </w:pPr>
            <w:r w:rsidRPr="000612FE">
              <w:rPr>
                <w:sz w:val="22"/>
                <w:szCs w:val="22"/>
              </w:rPr>
              <w:t>19</w:t>
            </w:r>
          </w:p>
        </w:tc>
      </w:tr>
      <w:tr w:rsidR="000612FE" w:rsidRPr="000612FE" w:rsidTr="000E3391">
        <w:trPr>
          <w:trHeight w:val="255"/>
        </w:trPr>
        <w:tc>
          <w:tcPr>
            <w:tcW w:w="3937" w:type="dxa"/>
            <w:shd w:val="clear" w:color="auto" w:fill="auto"/>
            <w:vAlign w:val="center"/>
          </w:tcPr>
          <w:p w:rsidR="000612FE" w:rsidRPr="000612FE" w:rsidRDefault="000612FE" w:rsidP="000612FE">
            <w:pPr>
              <w:widowControl w:val="0"/>
              <w:ind w:left="720" w:hanging="720"/>
              <w:rPr>
                <w:b/>
                <w:sz w:val="22"/>
                <w:szCs w:val="22"/>
              </w:rPr>
            </w:pPr>
            <w:r w:rsidRPr="000612FE">
              <w:rPr>
                <w:b/>
                <w:sz w:val="22"/>
                <w:szCs w:val="22"/>
              </w:rPr>
              <w:t>Total</w:t>
            </w:r>
          </w:p>
        </w:tc>
        <w:tc>
          <w:tcPr>
            <w:tcW w:w="1133" w:type="dxa"/>
            <w:tcBorders>
              <w:top w:val="single" w:sz="4" w:space="0" w:color="auto"/>
              <w:bottom w:val="single" w:sz="4" w:space="0" w:color="auto"/>
            </w:tcBorders>
            <w:shd w:val="clear" w:color="auto" w:fill="auto"/>
            <w:vAlign w:val="center"/>
          </w:tcPr>
          <w:p w:rsidR="000612FE" w:rsidRPr="000612FE" w:rsidRDefault="000612FE" w:rsidP="000E3391">
            <w:pPr>
              <w:widowControl w:val="0"/>
              <w:ind w:left="720" w:hanging="720"/>
              <w:jc w:val="center"/>
              <w:rPr>
                <w:b/>
                <w:sz w:val="22"/>
                <w:szCs w:val="22"/>
              </w:rPr>
            </w:pPr>
            <w:r w:rsidRPr="000612FE">
              <w:rPr>
                <w:b/>
                <w:sz w:val="22"/>
                <w:szCs w:val="22"/>
              </w:rPr>
              <w:t>9,510</w:t>
            </w:r>
          </w:p>
        </w:tc>
        <w:tc>
          <w:tcPr>
            <w:tcW w:w="1134" w:type="dxa"/>
            <w:tcBorders>
              <w:top w:val="single" w:sz="4" w:space="0" w:color="auto"/>
              <w:bottom w:val="single" w:sz="4" w:space="0" w:color="auto"/>
            </w:tcBorders>
            <w:shd w:val="clear" w:color="auto" w:fill="auto"/>
            <w:noWrap/>
            <w:vAlign w:val="center"/>
          </w:tcPr>
          <w:p w:rsidR="000612FE" w:rsidRPr="000612FE" w:rsidRDefault="000612FE" w:rsidP="000E3391">
            <w:pPr>
              <w:widowControl w:val="0"/>
              <w:ind w:left="720" w:hanging="720"/>
              <w:jc w:val="center"/>
              <w:rPr>
                <w:b/>
                <w:sz w:val="22"/>
                <w:szCs w:val="22"/>
              </w:rPr>
            </w:pPr>
            <w:r w:rsidRPr="000612FE">
              <w:rPr>
                <w:b/>
                <w:sz w:val="22"/>
                <w:szCs w:val="22"/>
              </w:rPr>
              <w:t>2,355</w:t>
            </w:r>
          </w:p>
        </w:tc>
        <w:tc>
          <w:tcPr>
            <w:tcW w:w="1132" w:type="dxa"/>
            <w:tcBorders>
              <w:top w:val="single" w:sz="4" w:space="0" w:color="auto"/>
              <w:bottom w:val="single" w:sz="4" w:space="0" w:color="auto"/>
            </w:tcBorders>
            <w:vAlign w:val="center"/>
          </w:tcPr>
          <w:p w:rsidR="000612FE" w:rsidRPr="000612FE" w:rsidRDefault="000612FE" w:rsidP="000E3391">
            <w:pPr>
              <w:widowControl w:val="0"/>
              <w:ind w:left="720" w:hanging="720"/>
              <w:jc w:val="center"/>
              <w:rPr>
                <w:b/>
                <w:sz w:val="22"/>
                <w:szCs w:val="22"/>
              </w:rPr>
            </w:pPr>
            <w:r w:rsidRPr="000612FE">
              <w:rPr>
                <w:b/>
                <w:sz w:val="22"/>
                <w:szCs w:val="22"/>
              </w:rPr>
              <w:t>2,366</w:t>
            </w:r>
          </w:p>
        </w:tc>
        <w:tc>
          <w:tcPr>
            <w:tcW w:w="1158" w:type="dxa"/>
            <w:tcBorders>
              <w:top w:val="single" w:sz="4" w:space="0" w:color="auto"/>
              <w:bottom w:val="single" w:sz="4" w:space="0" w:color="auto"/>
            </w:tcBorders>
            <w:vAlign w:val="center"/>
          </w:tcPr>
          <w:p w:rsidR="000612FE" w:rsidRPr="000612FE" w:rsidRDefault="000612FE" w:rsidP="000E3391">
            <w:pPr>
              <w:widowControl w:val="0"/>
              <w:ind w:left="720" w:hanging="720"/>
              <w:jc w:val="center"/>
              <w:rPr>
                <w:b/>
                <w:sz w:val="22"/>
                <w:szCs w:val="22"/>
              </w:rPr>
            </w:pPr>
            <w:r w:rsidRPr="000612FE">
              <w:rPr>
                <w:b/>
                <w:sz w:val="22"/>
                <w:szCs w:val="22"/>
              </w:rPr>
              <w:t>11</w:t>
            </w:r>
          </w:p>
        </w:tc>
      </w:tr>
    </w:tbl>
    <w:p w:rsidR="00E81FB3" w:rsidRDefault="00E81FB3" w:rsidP="00E81FB3">
      <w:pPr>
        <w:widowControl w:val="0"/>
        <w:rPr>
          <w:sz w:val="22"/>
          <w:szCs w:val="22"/>
        </w:rPr>
      </w:pPr>
    </w:p>
    <w:p w:rsidR="000612FE" w:rsidRPr="000612FE" w:rsidRDefault="000E3391" w:rsidP="00BC4E78">
      <w:pPr>
        <w:widowControl w:val="0"/>
        <w:numPr>
          <w:ilvl w:val="1"/>
          <w:numId w:val="10"/>
        </w:numPr>
        <w:rPr>
          <w:sz w:val="22"/>
          <w:szCs w:val="22"/>
        </w:rPr>
      </w:pPr>
      <w:r>
        <w:rPr>
          <w:sz w:val="22"/>
          <w:szCs w:val="22"/>
        </w:rPr>
        <w:tab/>
      </w:r>
      <w:r w:rsidR="000612FE" w:rsidRPr="000612FE">
        <w:rPr>
          <w:sz w:val="22"/>
          <w:szCs w:val="22"/>
        </w:rPr>
        <w:t xml:space="preserve">In order to make up the shortfall in Government funding, the original budget for 2016/17 </w:t>
      </w:r>
      <w:r w:rsidR="00CD35C6">
        <w:rPr>
          <w:sz w:val="22"/>
          <w:szCs w:val="22"/>
        </w:rPr>
        <w:tab/>
      </w:r>
      <w:r w:rsidR="000612FE" w:rsidRPr="000612FE">
        <w:rPr>
          <w:sz w:val="22"/>
          <w:szCs w:val="22"/>
        </w:rPr>
        <w:t xml:space="preserve">included some challenging service related savings targets as well </w:t>
      </w:r>
      <w:r w:rsidR="006622AF">
        <w:rPr>
          <w:sz w:val="22"/>
          <w:szCs w:val="22"/>
        </w:rPr>
        <w:t xml:space="preserve">as </w:t>
      </w:r>
      <w:r w:rsidR="000612FE" w:rsidRPr="000612FE">
        <w:rPr>
          <w:sz w:val="22"/>
          <w:szCs w:val="22"/>
        </w:rPr>
        <w:t xml:space="preserve">a more general </w:t>
      </w:r>
      <w:r w:rsidR="006622AF">
        <w:rPr>
          <w:sz w:val="22"/>
          <w:szCs w:val="22"/>
        </w:rPr>
        <w:lastRenderedPageBreak/>
        <w:tab/>
      </w:r>
      <w:r w:rsidR="000612FE" w:rsidRPr="000612FE">
        <w:rPr>
          <w:sz w:val="22"/>
          <w:szCs w:val="22"/>
        </w:rPr>
        <w:t xml:space="preserve">savings target of £300,000 (£600,000 in a full year from 2017/18).  Officers have held </w:t>
      </w:r>
      <w:r w:rsidR="006622AF">
        <w:rPr>
          <w:sz w:val="22"/>
          <w:szCs w:val="22"/>
        </w:rPr>
        <w:tab/>
      </w:r>
      <w:r w:rsidR="000612FE" w:rsidRPr="000612FE">
        <w:rPr>
          <w:sz w:val="22"/>
          <w:szCs w:val="22"/>
        </w:rPr>
        <w:t xml:space="preserve">preliminary discussions on how to meet these targets, with the following savings already </w:t>
      </w:r>
      <w:r w:rsidR="006622AF">
        <w:rPr>
          <w:sz w:val="22"/>
          <w:szCs w:val="22"/>
        </w:rPr>
        <w:tab/>
      </w:r>
      <w:r w:rsidR="000612FE" w:rsidRPr="000612FE">
        <w:rPr>
          <w:sz w:val="22"/>
          <w:szCs w:val="22"/>
        </w:rPr>
        <w:t>be</w:t>
      </w:r>
      <w:r w:rsidR="007E7326">
        <w:rPr>
          <w:sz w:val="22"/>
          <w:szCs w:val="22"/>
        </w:rPr>
        <w:t>ing identified and reported to C</w:t>
      </w:r>
      <w:r w:rsidR="000612FE" w:rsidRPr="000612FE">
        <w:rPr>
          <w:sz w:val="22"/>
          <w:szCs w:val="22"/>
        </w:rPr>
        <w:t>ommittee:</w:t>
      </w:r>
    </w:p>
    <w:p w:rsidR="000612FE" w:rsidRPr="000612FE" w:rsidRDefault="000612FE" w:rsidP="000612FE">
      <w:pPr>
        <w:widowControl w:val="0"/>
        <w:ind w:left="720" w:hanging="720"/>
        <w:rPr>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76"/>
        <w:gridCol w:w="1134"/>
        <w:gridCol w:w="1276"/>
      </w:tblGrid>
      <w:tr w:rsidR="000612FE" w:rsidRPr="000612FE" w:rsidTr="000612FE">
        <w:tc>
          <w:tcPr>
            <w:tcW w:w="8886" w:type="dxa"/>
            <w:gridSpan w:val="3"/>
            <w:shd w:val="clear" w:color="auto" w:fill="BFBFBF" w:themeFill="background1" w:themeFillShade="BF"/>
          </w:tcPr>
          <w:p w:rsidR="000612FE" w:rsidRPr="000612FE" w:rsidRDefault="000612FE" w:rsidP="000E3391">
            <w:pPr>
              <w:widowControl w:val="0"/>
              <w:ind w:left="720" w:hanging="720"/>
              <w:jc w:val="center"/>
              <w:rPr>
                <w:b/>
                <w:sz w:val="22"/>
                <w:szCs w:val="22"/>
              </w:rPr>
            </w:pPr>
            <w:r w:rsidRPr="000612FE">
              <w:rPr>
                <w:b/>
                <w:sz w:val="22"/>
                <w:szCs w:val="22"/>
              </w:rPr>
              <w:t>Table 4 – Progress against Savings Target</w:t>
            </w:r>
          </w:p>
        </w:tc>
      </w:tr>
      <w:tr w:rsidR="000612FE" w:rsidRPr="000612FE" w:rsidTr="000E3391">
        <w:tc>
          <w:tcPr>
            <w:tcW w:w="6476" w:type="dxa"/>
          </w:tcPr>
          <w:p w:rsidR="000612FE" w:rsidRPr="000612FE" w:rsidRDefault="000612FE" w:rsidP="000612FE">
            <w:pPr>
              <w:widowControl w:val="0"/>
              <w:ind w:left="720" w:hanging="720"/>
              <w:rPr>
                <w:sz w:val="22"/>
                <w:szCs w:val="22"/>
              </w:rPr>
            </w:pPr>
          </w:p>
        </w:tc>
        <w:tc>
          <w:tcPr>
            <w:tcW w:w="1134" w:type="dxa"/>
          </w:tcPr>
          <w:p w:rsidR="000612FE" w:rsidRPr="000612FE" w:rsidRDefault="000612FE" w:rsidP="000E3391">
            <w:pPr>
              <w:widowControl w:val="0"/>
              <w:ind w:left="720" w:hanging="720"/>
              <w:jc w:val="center"/>
              <w:rPr>
                <w:b/>
                <w:sz w:val="22"/>
                <w:szCs w:val="22"/>
              </w:rPr>
            </w:pPr>
            <w:r w:rsidRPr="000612FE">
              <w:rPr>
                <w:b/>
                <w:sz w:val="22"/>
                <w:szCs w:val="22"/>
              </w:rPr>
              <w:t>2016/17</w:t>
            </w:r>
          </w:p>
          <w:p w:rsidR="000612FE" w:rsidRPr="000612FE" w:rsidRDefault="000612FE" w:rsidP="000E3391">
            <w:pPr>
              <w:widowControl w:val="0"/>
              <w:ind w:left="720" w:hanging="720"/>
              <w:jc w:val="center"/>
              <w:rPr>
                <w:b/>
                <w:sz w:val="22"/>
                <w:szCs w:val="22"/>
              </w:rPr>
            </w:pPr>
            <w:r w:rsidRPr="000612FE">
              <w:rPr>
                <w:b/>
                <w:sz w:val="22"/>
                <w:szCs w:val="22"/>
              </w:rPr>
              <w:t>£’000</w:t>
            </w:r>
          </w:p>
        </w:tc>
        <w:tc>
          <w:tcPr>
            <w:tcW w:w="1276" w:type="dxa"/>
          </w:tcPr>
          <w:p w:rsidR="000612FE" w:rsidRPr="000612FE" w:rsidRDefault="000612FE" w:rsidP="000E3391">
            <w:pPr>
              <w:widowControl w:val="0"/>
              <w:ind w:left="720" w:hanging="720"/>
              <w:jc w:val="center"/>
              <w:rPr>
                <w:b/>
                <w:sz w:val="22"/>
                <w:szCs w:val="22"/>
              </w:rPr>
            </w:pPr>
            <w:r w:rsidRPr="000612FE">
              <w:rPr>
                <w:b/>
                <w:sz w:val="22"/>
                <w:szCs w:val="22"/>
              </w:rPr>
              <w:t>Full Year</w:t>
            </w:r>
          </w:p>
          <w:p w:rsidR="000612FE" w:rsidRPr="000612FE" w:rsidRDefault="000612FE" w:rsidP="000E3391">
            <w:pPr>
              <w:widowControl w:val="0"/>
              <w:ind w:left="720" w:hanging="720"/>
              <w:jc w:val="center"/>
              <w:rPr>
                <w:b/>
                <w:sz w:val="22"/>
                <w:szCs w:val="22"/>
              </w:rPr>
            </w:pPr>
            <w:r w:rsidRPr="000612FE">
              <w:rPr>
                <w:b/>
                <w:sz w:val="22"/>
                <w:szCs w:val="22"/>
              </w:rPr>
              <w:t>£’000</w:t>
            </w:r>
          </w:p>
        </w:tc>
      </w:tr>
      <w:tr w:rsidR="000612FE" w:rsidRPr="000612FE" w:rsidTr="000E3391">
        <w:tc>
          <w:tcPr>
            <w:tcW w:w="6476" w:type="dxa"/>
          </w:tcPr>
          <w:p w:rsidR="000612FE" w:rsidRPr="000612FE" w:rsidRDefault="000612FE" w:rsidP="000612FE">
            <w:pPr>
              <w:widowControl w:val="0"/>
              <w:ind w:left="720" w:hanging="720"/>
              <w:rPr>
                <w:b/>
                <w:sz w:val="22"/>
                <w:szCs w:val="22"/>
              </w:rPr>
            </w:pPr>
            <w:r w:rsidRPr="000612FE">
              <w:rPr>
                <w:b/>
                <w:sz w:val="22"/>
                <w:szCs w:val="22"/>
              </w:rPr>
              <w:t>Savings Target as per 2016/17 Budget Book</w:t>
            </w:r>
          </w:p>
        </w:tc>
        <w:tc>
          <w:tcPr>
            <w:tcW w:w="1134" w:type="dxa"/>
          </w:tcPr>
          <w:p w:rsidR="000612FE" w:rsidRPr="000612FE" w:rsidRDefault="000612FE" w:rsidP="000E3391">
            <w:pPr>
              <w:widowControl w:val="0"/>
              <w:ind w:left="720" w:hanging="720"/>
              <w:jc w:val="center"/>
              <w:rPr>
                <w:b/>
                <w:sz w:val="22"/>
                <w:szCs w:val="22"/>
              </w:rPr>
            </w:pPr>
            <w:r w:rsidRPr="000612FE">
              <w:rPr>
                <w:b/>
                <w:sz w:val="22"/>
                <w:szCs w:val="22"/>
              </w:rPr>
              <w:t>300</w:t>
            </w:r>
          </w:p>
        </w:tc>
        <w:tc>
          <w:tcPr>
            <w:tcW w:w="1276" w:type="dxa"/>
          </w:tcPr>
          <w:p w:rsidR="000612FE" w:rsidRPr="000612FE" w:rsidRDefault="000612FE" w:rsidP="000E3391">
            <w:pPr>
              <w:widowControl w:val="0"/>
              <w:ind w:left="720" w:hanging="720"/>
              <w:jc w:val="center"/>
              <w:rPr>
                <w:b/>
                <w:sz w:val="22"/>
                <w:szCs w:val="22"/>
              </w:rPr>
            </w:pPr>
            <w:r w:rsidRPr="000612FE">
              <w:rPr>
                <w:b/>
                <w:sz w:val="22"/>
                <w:szCs w:val="22"/>
              </w:rPr>
              <w:t>600</w:t>
            </w:r>
          </w:p>
        </w:tc>
      </w:tr>
      <w:tr w:rsidR="000612FE" w:rsidRPr="000612FE" w:rsidTr="000E3391">
        <w:tc>
          <w:tcPr>
            <w:tcW w:w="6476" w:type="dxa"/>
          </w:tcPr>
          <w:p w:rsidR="000612FE" w:rsidRPr="000612FE" w:rsidRDefault="000612FE" w:rsidP="000612FE">
            <w:pPr>
              <w:widowControl w:val="0"/>
              <w:ind w:left="720" w:hanging="720"/>
              <w:rPr>
                <w:sz w:val="22"/>
                <w:szCs w:val="22"/>
              </w:rPr>
            </w:pPr>
            <w:r w:rsidRPr="000612FE">
              <w:rPr>
                <w:sz w:val="22"/>
                <w:szCs w:val="22"/>
                <w:lang w:val="en"/>
              </w:rPr>
              <w:t xml:space="preserve">Ashford Locality Hub (CS </w:t>
            </w:r>
            <w:proofErr w:type="spellStart"/>
            <w:r w:rsidRPr="000612FE">
              <w:rPr>
                <w:sz w:val="22"/>
                <w:szCs w:val="22"/>
                <w:lang w:val="en"/>
              </w:rPr>
              <w:t>Cttee</w:t>
            </w:r>
            <w:proofErr w:type="spellEnd"/>
            <w:r w:rsidRPr="000612FE">
              <w:rPr>
                <w:sz w:val="22"/>
                <w:szCs w:val="22"/>
                <w:lang w:val="en"/>
              </w:rPr>
              <w:t xml:space="preserve"> – June 2016)</w:t>
            </w:r>
          </w:p>
        </w:tc>
        <w:tc>
          <w:tcPr>
            <w:tcW w:w="1134" w:type="dxa"/>
          </w:tcPr>
          <w:p w:rsidR="000612FE" w:rsidRPr="000612FE" w:rsidRDefault="000612FE" w:rsidP="000E3391">
            <w:pPr>
              <w:widowControl w:val="0"/>
              <w:ind w:left="720" w:hanging="720"/>
              <w:jc w:val="center"/>
              <w:rPr>
                <w:sz w:val="22"/>
                <w:szCs w:val="22"/>
              </w:rPr>
            </w:pPr>
            <w:r w:rsidRPr="000612FE">
              <w:rPr>
                <w:sz w:val="22"/>
                <w:szCs w:val="22"/>
              </w:rPr>
              <w:t>(10)</w:t>
            </w:r>
          </w:p>
        </w:tc>
        <w:tc>
          <w:tcPr>
            <w:tcW w:w="1276" w:type="dxa"/>
          </w:tcPr>
          <w:p w:rsidR="000612FE" w:rsidRPr="000612FE" w:rsidRDefault="000612FE" w:rsidP="000E3391">
            <w:pPr>
              <w:widowControl w:val="0"/>
              <w:ind w:left="720" w:hanging="720"/>
              <w:jc w:val="center"/>
              <w:rPr>
                <w:sz w:val="22"/>
                <w:szCs w:val="22"/>
              </w:rPr>
            </w:pPr>
            <w:r w:rsidRPr="000612FE">
              <w:rPr>
                <w:sz w:val="22"/>
                <w:szCs w:val="22"/>
              </w:rPr>
              <w:t>(22)</w:t>
            </w:r>
          </w:p>
        </w:tc>
      </w:tr>
      <w:tr w:rsidR="000612FE" w:rsidRPr="000612FE" w:rsidTr="000E3391">
        <w:tc>
          <w:tcPr>
            <w:tcW w:w="6476" w:type="dxa"/>
          </w:tcPr>
          <w:p w:rsidR="000612FE" w:rsidRPr="000612FE" w:rsidRDefault="000612FE" w:rsidP="000612FE">
            <w:pPr>
              <w:widowControl w:val="0"/>
              <w:ind w:left="720" w:hanging="720"/>
              <w:rPr>
                <w:sz w:val="22"/>
                <w:szCs w:val="22"/>
              </w:rPr>
            </w:pPr>
            <w:r w:rsidRPr="000612FE">
              <w:rPr>
                <w:sz w:val="22"/>
                <w:szCs w:val="22"/>
                <w:lang w:val="en"/>
              </w:rPr>
              <w:t xml:space="preserve">Surrey Heath Partnership (CS </w:t>
            </w:r>
            <w:proofErr w:type="spellStart"/>
            <w:r w:rsidRPr="000612FE">
              <w:rPr>
                <w:sz w:val="22"/>
                <w:szCs w:val="22"/>
                <w:lang w:val="en"/>
              </w:rPr>
              <w:t>Cttee</w:t>
            </w:r>
            <w:proofErr w:type="spellEnd"/>
            <w:r w:rsidRPr="000612FE">
              <w:rPr>
                <w:sz w:val="22"/>
                <w:szCs w:val="22"/>
                <w:lang w:val="en"/>
              </w:rPr>
              <w:t xml:space="preserve"> – June 2016)</w:t>
            </w:r>
          </w:p>
        </w:tc>
        <w:tc>
          <w:tcPr>
            <w:tcW w:w="1134" w:type="dxa"/>
          </w:tcPr>
          <w:p w:rsidR="000612FE" w:rsidRPr="000612FE" w:rsidRDefault="000612FE" w:rsidP="000E3391">
            <w:pPr>
              <w:widowControl w:val="0"/>
              <w:ind w:left="720" w:hanging="720"/>
              <w:jc w:val="center"/>
              <w:rPr>
                <w:sz w:val="22"/>
                <w:szCs w:val="22"/>
              </w:rPr>
            </w:pPr>
            <w:r w:rsidRPr="000612FE">
              <w:rPr>
                <w:sz w:val="22"/>
                <w:szCs w:val="22"/>
              </w:rPr>
              <w:t>(36)</w:t>
            </w:r>
          </w:p>
        </w:tc>
        <w:tc>
          <w:tcPr>
            <w:tcW w:w="1276" w:type="dxa"/>
          </w:tcPr>
          <w:p w:rsidR="000612FE" w:rsidRPr="000612FE" w:rsidRDefault="000612FE" w:rsidP="000E3391">
            <w:pPr>
              <w:widowControl w:val="0"/>
              <w:ind w:left="720" w:hanging="720"/>
              <w:jc w:val="center"/>
              <w:rPr>
                <w:sz w:val="22"/>
                <w:szCs w:val="22"/>
              </w:rPr>
            </w:pPr>
            <w:r w:rsidRPr="000612FE">
              <w:rPr>
                <w:sz w:val="22"/>
                <w:szCs w:val="22"/>
              </w:rPr>
              <w:t>(78)</w:t>
            </w:r>
          </w:p>
        </w:tc>
      </w:tr>
      <w:tr w:rsidR="000612FE" w:rsidRPr="000612FE" w:rsidTr="000E3391">
        <w:tc>
          <w:tcPr>
            <w:tcW w:w="6476" w:type="dxa"/>
          </w:tcPr>
          <w:p w:rsidR="000612FE" w:rsidRPr="000612FE" w:rsidRDefault="000612FE" w:rsidP="000E3391">
            <w:pPr>
              <w:widowControl w:val="0"/>
              <w:rPr>
                <w:sz w:val="22"/>
                <w:szCs w:val="22"/>
                <w:lang w:val="en"/>
              </w:rPr>
            </w:pPr>
            <w:r w:rsidRPr="000612FE">
              <w:rPr>
                <w:sz w:val="22"/>
                <w:szCs w:val="22"/>
              </w:rPr>
              <w:t xml:space="preserve">Recycling – phased closure of bring sites (ES </w:t>
            </w:r>
            <w:proofErr w:type="spellStart"/>
            <w:r w:rsidRPr="000612FE">
              <w:rPr>
                <w:sz w:val="22"/>
                <w:szCs w:val="22"/>
              </w:rPr>
              <w:t>Cttee</w:t>
            </w:r>
            <w:proofErr w:type="spellEnd"/>
            <w:r w:rsidRPr="000612FE">
              <w:rPr>
                <w:sz w:val="22"/>
                <w:szCs w:val="22"/>
              </w:rPr>
              <w:t xml:space="preserve"> – June 2016)</w:t>
            </w:r>
          </w:p>
        </w:tc>
        <w:tc>
          <w:tcPr>
            <w:tcW w:w="1134" w:type="dxa"/>
          </w:tcPr>
          <w:p w:rsidR="000612FE" w:rsidRPr="000612FE" w:rsidRDefault="000612FE" w:rsidP="000E3391">
            <w:pPr>
              <w:widowControl w:val="0"/>
              <w:ind w:left="720" w:hanging="720"/>
              <w:jc w:val="center"/>
              <w:rPr>
                <w:sz w:val="22"/>
                <w:szCs w:val="22"/>
              </w:rPr>
            </w:pPr>
            <w:r w:rsidRPr="000612FE">
              <w:rPr>
                <w:sz w:val="22"/>
                <w:szCs w:val="22"/>
              </w:rPr>
              <w:t>(1)</w:t>
            </w:r>
          </w:p>
        </w:tc>
        <w:tc>
          <w:tcPr>
            <w:tcW w:w="1276" w:type="dxa"/>
          </w:tcPr>
          <w:p w:rsidR="000612FE" w:rsidRPr="000612FE" w:rsidRDefault="000612FE" w:rsidP="000E3391">
            <w:pPr>
              <w:widowControl w:val="0"/>
              <w:ind w:left="720" w:hanging="720"/>
              <w:jc w:val="center"/>
              <w:rPr>
                <w:sz w:val="22"/>
                <w:szCs w:val="22"/>
              </w:rPr>
            </w:pPr>
            <w:r w:rsidRPr="000612FE">
              <w:rPr>
                <w:sz w:val="22"/>
                <w:szCs w:val="22"/>
              </w:rPr>
              <w:t>(11)</w:t>
            </w:r>
          </w:p>
        </w:tc>
      </w:tr>
      <w:tr w:rsidR="000612FE" w:rsidRPr="000612FE" w:rsidTr="000E3391">
        <w:tc>
          <w:tcPr>
            <w:tcW w:w="6476" w:type="dxa"/>
          </w:tcPr>
          <w:p w:rsidR="000612FE" w:rsidRPr="000612FE" w:rsidRDefault="000612FE" w:rsidP="000612FE">
            <w:pPr>
              <w:widowControl w:val="0"/>
              <w:ind w:left="720" w:hanging="720"/>
              <w:rPr>
                <w:sz w:val="22"/>
                <w:szCs w:val="22"/>
                <w:lang w:val="en"/>
              </w:rPr>
            </w:pPr>
          </w:p>
        </w:tc>
        <w:tc>
          <w:tcPr>
            <w:tcW w:w="1134" w:type="dxa"/>
          </w:tcPr>
          <w:p w:rsidR="000612FE" w:rsidRPr="000612FE" w:rsidRDefault="000612FE" w:rsidP="000E3391">
            <w:pPr>
              <w:widowControl w:val="0"/>
              <w:ind w:left="720" w:hanging="720"/>
              <w:jc w:val="center"/>
              <w:rPr>
                <w:sz w:val="22"/>
                <w:szCs w:val="22"/>
              </w:rPr>
            </w:pPr>
          </w:p>
        </w:tc>
        <w:tc>
          <w:tcPr>
            <w:tcW w:w="1276" w:type="dxa"/>
          </w:tcPr>
          <w:p w:rsidR="000612FE" w:rsidRPr="000612FE" w:rsidRDefault="000612FE" w:rsidP="000E3391">
            <w:pPr>
              <w:widowControl w:val="0"/>
              <w:ind w:left="720" w:hanging="720"/>
              <w:jc w:val="center"/>
              <w:rPr>
                <w:sz w:val="22"/>
                <w:szCs w:val="22"/>
              </w:rPr>
            </w:pPr>
          </w:p>
        </w:tc>
      </w:tr>
      <w:tr w:rsidR="000612FE" w:rsidRPr="000612FE" w:rsidTr="000E3391">
        <w:tc>
          <w:tcPr>
            <w:tcW w:w="6476" w:type="dxa"/>
          </w:tcPr>
          <w:p w:rsidR="000612FE" w:rsidRPr="000612FE" w:rsidRDefault="000612FE" w:rsidP="000612FE">
            <w:pPr>
              <w:widowControl w:val="0"/>
              <w:ind w:left="720" w:hanging="720"/>
              <w:rPr>
                <w:b/>
                <w:sz w:val="22"/>
                <w:szCs w:val="22"/>
              </w:rPr>
            </w:pPr>
            <w:r w:rsidRPr="000612FE">
              <w:rPr>
                <w:b/>
                <w:sz w:val="22"/>
                <w:szCs w:val="22"/>
              </w:rPr>
              <w:t>Savings still to be identified</w:t>
            </w:r>
          </w:p>
        </w:tc>
        <w:tc>
          <w:tcPr>
            <w:tcW w:w="1134" w:type="dxa"/>
          </w:tcPr>
          <w:p w:rsidR="000612FE" w:rsidRPr="000612FE" w:rsidRDefault="000612FE" w:rsidP="000E3391">
            <w:pPr>
              <w:widowControl w:val="0"/>
              <w:ind w:left="720" w:hanging="720"/>
              <w:jc w:val="center"/>
              <w:rPr>
                <w:b/>
                <w:sz w:val="22"/>
                <w:szCs w:val="22"/>
              </w:rPr>
            </w:pPr>
            <w:r w:rsidRPr="000612FE">
              <w:rPr>
                <w:b/>
                <w:sz w:val="22"/>
                <w:szCs w:val="22"/>
              </w:rPr>
              <w:t>253</w:t>
            </w:r>
          </w:p>
        </w:tc>
        <w:tc>
          <w:tcPr>
            <w:tcW w:w="1276" w:type="dxa"/>
          </w:tcPr>
          <w:p w:rsidR="000612FE" w:rsidRPr="000612FE" w:rsidRDefault="000612FE" w:rsidP="000E3391">
            <w:pPr>
              <w:widowControl w:val="0"/>
              <w:ind w:left="720" w:hanging="720"/>
              <w:jc w:val="center"/>
              <w:rPr>
                <w:b/>
                <w:sz w:val="22"/>
                <w:szCs w:val="22"/>
              </w:rPr>
            </w:pPr>
            <w:r w:rsidRPr="000612FE">
              <w:rPr>
                <w:b/>
                <w:sz w:val="22"/>
                <w:szCs w:val="22"/>
              </w:rPr>
              <w:t>489</w:t>
            </w:r>
          </w:p>
        </w:tc>
      </w:tr>
    </w:tbl>
    <w:p w:rsidR="000612FE" w:rsidRPr="000612FE" w:rsidRDefault="000612FE" w:rsidP="007E7326">
      <w:pPr>
        <w:widowControl w:val="0"/>
        <w:rPr>
          <w:sz w:val="22"/>
          <w:szCs w:val="22"/>
        </w:rPr>
      </w:pPr>
    </w:p>
    <w:p w:rsidR="000612FE" w:rsidRPr="000612FE" w:rsidRDefault="000612FE" w:rsidP="000612FE">
      <w:pPr>
        <w:widowControl w:val="0"/>
        <w:ind w:left="720" w:hanging="720"/>
        <w:rPr>
          <w:sz w:val="22"/>
          <w:szCs w:val="22"/>
        </w:rPr>
      </w:pPr>
      <w:r w:rsidRPr="000612FE">
        <w:rPr>
          <w:sz w:val="22"/>
          <w:szCs w:val="22"/>
        </w:rPr>
        <w:tab/>
        <w:t>Other savings to meet the full £600,000 full year target have been identified and officers are currently working up plans on how to bring these to fruition.</w:t>
      </w:r>
    </w:p>
    <w:p w:rsidR="000612FE" w:rsidRPr="000612FE" w:rsidRDefault="000612FE" w:rsidP="007E7326">
      <w:pPr>
        <w:widowControl w:val="0"/>
        <w:rPr>
          <w:sz w:val="22"/>
          <w:szCs w:val="22"/>
        </w:rPr>
      </w:pPr>
    </w:p>
    <w:p w:rsidR="000612FE" w:rsidRPr="000612FE" w:rsidRDefault="000E3391" w:rsidP="00BC4E78">
      <w:pPr>
        <w:widowControl w:val="0"/>
        <w:numPr>
          <w:ilvl w:val="1"/>
          <w:numId w:val="10"/>
        </w:numPr>
        <w:rPr>
          <w:sz w:val="22"/>
          <w:szCs w:val="22"/>
        </w:rPr>
      </w:pPr>
      <w:r>
        <w:rPr>
          <w:sz w:val="22"/>
          <w:szCs w:val="22"/>
        </w:rPr>
        <w:tab/>
      </w:r>
      <w:r w:rsidR="000612FE" w:rsidRPr="000612FE">
        <w:rPr>
          <w:sz w:val="22"/>
          <w:szCs w:val="22"/>
        </w:rPr>
        <w:t>The table set out belo</w:t>
      </w:r>
      <w:r w:rsidR="007E7326">
        <w:rPr>
          <w:sz w:val="22"/>
          <w:szCs w:val="22"/>
        </w:rPr>
        <w:t>w shows the performance of the C</w:t>
      </w:r>
      <w:r w:rsidR="000612FE" w:rsidRPr="000612FE">
        <w:rPr>
          <w:sz w:val="22"/>
          <w:szCs w:val="22"/>
        </w:rPr>
        <w:t xml:space="preserve">ouncil’s key income drivers.  </w:t>
      </w:r>
      <w:r w:rsidR="00C41280">
        <w:rPr>
          <w:sz w:val="22"/>
          <w:szCs w:val="22"/>
        </w:rPr>
        <w:tab/>
      </w:r>
      <w:r w:rsidR="000612FE" w:rsidRPr="000612FE">
        <w:rPr>
          <w:sz w:val="22"/>
          <w:szCs w:val="22"/>
        </w:rPr>
        <w:t xml:space="preserve">Where these are anticipated to vary significantly from the budget, an estimate of the </w:t>
      </w:r>
      <w:r w:rsidR="00C41280">
        <w:rPr>
          <w:sz w:val="22"/>
          <w:szCs w:val="22"/>
        </w:rPr>
        <w:tab/>
      </w:r>
      <w:r w:rsidR="000612FE" w:rsidRPr="000612FE">
        <w:rPr>
          <w:sz w:val="22"/>
          <w:szCs w:val="22"/>
        </w:rPr>
        <w:t>year end effect has been included in table 2 above accordingly.</w:t>
      </w:r>
    </w:p>
    <w:p w:rsidR="000612FE" w:rsidRPr="000612FE" w:rsidRDefault="000612FE" w:rsidP="000612FE">
      <w:pPr>
        <w:widowControl w:val="0"/>
        <w:ind w:left="720" w:hanging="720"/>
        <w:rPr>
          <w:sz w:val="22"/>
          <w:szCs w:val="22"/>
        </w:rPr>
      </w:pPr>
    </w:p>
    <w:tbl>
      <w:tblPr>
        <w:tblW w:w="743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6"/>
        <w:gridCol w:w="1140"/>
        <w:gridCol w:w="1140"/>
        <w:gridCol w:w="1211"/>
      </w:tblGrid>
      <w:tr w:rsidR="000612FE" w:rsidRPr="000612FE" w:rsidTr="000612FE">
        <w:trPr>
          <w:trHeight w:val="255"/>
        </w:trPr>
        <w:tc>
          <w:tcPr>
            <w:tcW w:w="7437" w:type="dxa"/>
            <w:gridSpan w:val="4"/>
            <w:shd w:val="clear" w:color="auto" w:fill="BFBFBF" w:themeFill="background1" w:themeFillShade="BF"/>
            <w:noWrap/>
            <w:vAlign w:val="center"/>
          </w:tcPr>
          <w:p w:rsidR="000612FE" w:rsidRPr="000612FE" w:rsidRDefault="000612FE" w:rsidP="000E3391">
            <w:pPr>
              <w:widowControl w:val="0"/>
              <w:ind w:left="720" w:hanging="720"/>
              <w:jc w:val="center"/>
              <w:rPr>
                <w:sz w:val="22"/>
                <w:szCs w:val="22"/>
              </w:rPr>
            </w:pPr>
            <w:r w:rsidRPr="000612FE">
              <w:rPr>
                <w:b/>
                <w:bCs/>
                <w:sz w:val="22"/>
                <w:szCs w:val="22"/>
              </w:rPr>
              <w:t>Table 5 - Performance of key income drivers 2016/17</w:t>
            </w:r>
          </w:p>
        </w:tc>
      </w:tr>
      <w:tr w:rsidR="000612FE" w:rsidRPr="000612FE" w:rsidTr="000612FE">
        <w:trPr>
          <w:trHeight w:val="255"/>
        </w:trPr>
        <w:tc>
          <w:tcPr>
            <w:tcW w:w="3946" w:type="dxa"/>
            <w:shd w:val="clear" w:color="auto" w:fill="auto"/>
            <w:vAlign w:val="center"/>
          </w:tcPr>
          <w:p w:rsidR="000612FE" w:rsidRPr="000612FE" w:rsidRDefault="000612FE" w:rsidP="000612FE">
            <w:pPr>
              <w:widowControl w:val="0"/>
              <w:ind w:left="720" w:hanging="720"/>
              <w:rPr>
                <w:sz w:val="22"/>
                <w:szCs w:val="22"/>
              </w:rPr>
            </w:pPr>
          </w:p>
        </w:tc>
        <w:tc>
          <w:tcPr>
            <w:tcW w:w="1140" w:type="dxa"/>
            <w:shd w:val="clear" w:color="auto" w:fill="auto"/>
            <w:vAlign w:val="center"/>
          </w:tcPr>
          <w:p w:rsidR="000612FE" w:rsidRPr="000612FE" w:rsidRDefault="000612FE" w:rsidP="000E3391">
            <w:pPr>
              <w:widowControl w:val="0"/>
              <w:ind w:left="720" w:hanging="720"/>
              <w:jc w:val="center"/>
              <w:rPr>
                <w:b/>
                <w:sz w:val="22"/>
                <w:szCs w:val="22"/>
              </w:rPr>
            </w:pPr>
            <w:r w:rsidRPr="000612FE">
              <w:rPr>
                <w:b/>
                <w:sz w:val="22"/>
                <w:szCs w:val="22"/>
              </w:rPr>
              <w:t>Original</w:t>
            </w:r>
          </w:p>
          <w:p w:rsidR="000612FE" w:rsidRPr="000612FE" w:rsidRDefault="000612FE" w:rsidP="000E3391">
            <w:pPr>
              <w:widowControl w:val="0"/>
              <w:ind w:left="720" w:hanging="720"/>
              <w:jc w:val="center"/>
              <w:rPr>
                <w:b/>
                <w:sz w:val="22"/>
                <w:szCs w:val="22"/>
              </w:rPr>
            </w:pPr>
            <w:r w:rsidRPr="000612FE">
              <w:rPr>
                <w:b/>
                <w:sz w:val="22"/>
                <w:szCs w:val="22"/>
              </w:rPr>
              <w:t>Budget</w:t>
            </w:r>
          </w:p>
          <w:p w:rsidR="000612FE" w:rsidRPr="000612FE" w:rsidRDefault="000612FE" w:rsidP="000E3391">
            <w:pPr>
              <w:widowControl w:val="0"/>
              <w:ind w:left="720" w:hanging="720"/>
              <w:jc w:val="center"/>
              <w:rPr>
                <w:b/>
                <w:sz w:val="22"/>
                <w:szCs w:val="22"/>
              </w:rPr>
            </w:pPr>
            <w:r w:rsidRPr="000612FE">
              <w:rPr>
                <w:b/>
                <w:sz w:val="22"/>
                <w:szCs w:val="22"/>
              </w:rPr>
              <w:t>£000</w:t>
            </w:r>
          </w:p>
        </w:tc>
        <w:tc>
          <w:tcPr>
            <w:tcW w:w="1140" w:type="dxa"/>
            <w:tcBorders>
              <w:bottom w:val="dotted" w:sz="4" w:space="0" w:color="auto"/>
            </w:tcBorders>
            <w:shd w:val="clear" w:color="auto" w:fill="auto"/>
            <w:noWrap/>
            <w:vAlign w:val="bottom"/>
          </w:tcPr>
          <w:p w:rsidR="000612FE" w:rsidRPr="000612FE" w:rsidRDefault="000612FE" w:rsidP="000E3391">
            <w:pPr>
              <w:widowControl w:val="0"/>
              <w:ind w:left="720" w:hanging="720"/>
              <w:jc w:val="center"/>
              <w:rPr>
                <w:b/>
                <w:bCs/>
                <w:sz w:val="22"/>
                <w:szCs w:val="22"/>
              </w:rPr>
            </w:pPr>
            <w:r w:rsidRPr="000612FE">
              <w:rPr>
                <w:b/>
                <w:bCs/>
                <w:sz w:val="22"/>
                <w:szCs w:val="22"/>
              </w:rPr>
              <w:t>Profiled</w:t>
            </w:r>
          </w:p>
          <w:p w:rsidR="000612FE" w:rsidRPr="000612FE" w:rsidRDefault="000612FE" w:rsidP="000E3391">
            <w:pPr>
              <w:widowControl w:val="0"/>
              <w:ind w:left="720" w:hanging="720"/>
              <w:jc w:val="center"/>
              <w:rPr>
                <w:b/>
                <w:bCs/>
                <w:sz w:val="22"/>
                <w:szCs w:val="22"/>
              </w:rPr>
            </w:pPr>
            <w:r w:rsidRPr="000612FE">
              <w:rPr>
                <w:b/>
                <w:bCs/>
                <w:sz w:val="22"/>
                <w:szCs w:val="22"/>
              </w:rPr>
              <w:t>Budget</w:t>
            </w:r>
          </w:p>
          <w:p w:rsidR="000612FE" w:rsidRPr="000612FE" w:rsidRDefault="000612FE" w:rsidP="000E3391">
            <w:pPr>
              <w:widowControl w:val="0"/>
              <w:ind w:left="720" w:hanging="720"/>
              <w:jc w:val="center"/>
              <w:rPr>
                <w:b/>
                <w:bCs/>
                <w:sz w:val="22"/>
                <w:szCs w:val="22"/>
              </w:rPr>
            </w:pPr>
            <w:r w:rsidRPr="000612FE">
              <w:rPr>
                <w:b/>
                <w:bCs/>
                <w:sz w:val="22"/>
                <w:szCs w:val="22"/>
              </w:rPr>
              <w:t>£000</w:t>
            </w:r>
          </w:p>
        </w:tc>
        <w:tc>
          <w:tcPr>
            <w:tcW w:w="1211" w:type="dxa"/>
            <w:tcBorders>
              <w:bottom w:val="dotted" w:sz="4" w:space="0" w:color="auto"/>
            </w:tcBorders>
            <w:shd w:val="clear" w:color="auto" w:fill="auto"/>
            <w:noWrap/>
            <w:vAlign w:val="bottom"/>
          </w:tcPr>
          <w:p w:rsidR="000612FE" w:rsidRPr="000612FE" w:rsidRDefault="000612FE" w:rsidP="000E3391">
            <w:pPr>
              <w:widowControl w:val="0"/>
              <w:ind w:left="720" w:hanging="720"/>
              <w:jc w:val="center"/>
              <w:rPr>
                <w:b/>
                <w:bCs/>
                <w:sz w:val="22"/>
                <w:szCs w:val="22"/>
              </w:rPr>
            </w:pPr>
            <w:r w:rsidRPr="000612FE">
              <w:rPr>
                <w:b/>
                <w:bCs/>
                <w:sz w:val="22"/>
                <w:szCs w:val="22"/>
              </w:rPr>
              <w:t>Actual</w:t>
            </w:r>
          </w:p>
          <w:p w:rsidR="000612FE" w:rsidRPr="000612FE" w:rsidRDefault="000612FE" w:rsidP="000E3391">
            <w:pPr>
              <w:widowControl w:val="0"/>
              <w:ind w:left="720" w:hanging="720"/>
              <w:jc w:val="center"/>
              <w:rPr>
                <w:b/>
                <w:bCs/>
                <w:sz w:val="22"/>
                <w:szCs w:val="22"/>
              </w:rPr>
            </w:pPr>
            <w:r w:rsidRPr="000612FE">
              <w:rPr>
                <w:b/>
                <w:bCs/>
                <w:sz w:val="22"/>
                <w:szCs w:val="22"/>
              </w:rPr>
              <w:t>to Date</w:t>
            </w:r>
          </w:p>
          <w:p w:rsidR="000612FE" w:rsidRPr="000612FE" w:rsidRDefault="000612FE" w:rsidP="000E3391">
            <w:pPr>
              <w:widowControl w:val="0"/>
              <w:ind w:left="720" w:hanging="720"/>
              <w:jc w:val="center"/>
              <w:rPr>
                <w:b/>
                <w:bCs/>
                <w:sz w:val="22"/>
                <w:szCs w:val="22"/>
              </w:rPr>
            </w:pPr>
            <w:r w:rsidRPr="000612FE">
              <w:rPr>
                <w:b/>
                <w:bCs/>
                <w:sz w:val="22"/>
                <w:szCs w:val="22"/>
              </w:rPr>
              <w:t>£000</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Halls income</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169</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53</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50</w:t>
            </w:r>
          </w:p>
        </w:tc>
      </w:tr>
      <w:tr w:rsidR="000612FE" w:rsidRPr="000612FE" w:rsidTr="000612FE">
        <w:trPr>
          <w:trHeight w:val="242"/>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Cemetery income</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177</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33</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55</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Community meals</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164</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27</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39</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Trade waste income</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450</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336</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339</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Off street parking ticket income</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458</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103</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124</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Planning fees</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700</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175</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188</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sz w:val="22"/>
                <w:szCs w:val="22"/>
              </w:rPr>
            </w:pPr>
            <w:r w:rsidRPr="000612FE">
              <w:rPr>
                <w:sz w:val="22"/>
                <w:szCs w:val="22"/>
              </w:rPr>
              <w:t>Local land charge search fees</w:t>
            </w:r>
          </w:p>
        </w:tc>
        <w:tc>
          <w:tcPr>
            <w:tcW w:w="1140" w:type="dxa"/>
            <w:shd w:val="clear" w:color="auto" w:fill="auto"/>
            <w:vAlign w:val="bottom"/>
          </w:tcPr>
          <w:p w:rsidR="000612FE" w:rsidRPr="000612FE" w:rsidRDefault="000612FE" w:rsidP="000E3391">
            <w:pPr>
              <w:widowControl w:val="0"/>
              <w:ind w:left="720" w:hanging="720"/>
              <w:jc w:val="center"/>
              <w:rPr>
                <w:sz w:val="22"/>
                <w:szCs w:val="22"/>
              </w:rPr>
            </w:pPr>
            <w:r w:rsidRPr="000612FE">
              <w:rPr>
                <w:sz w:val="22"/>
                <w:szCs w:val="22"/>
              </w:rPr>
              <w:t>251</w:t>
            </w:r>
          </w:p>
        </w:tc>
        <w:tc>
          <w:tcPr>
            <w:tcW w:w="1140"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64</w:t>
            </w:r>
          </w:p>
        </w:tc>
        <w:tc>
          <w:tcPr>
            <w:tcW w:w="1211" w:type="dxa"/>
            <w:shd w:val="clear" w:color="auto" w:fill="auto"/>
            <w:noWrap/>
            <w:vAlign w:val="bottom"/>
          </w:tcPr>
          <w:p w:rsidR="000612FE" w:rsidRPr="000612FE" w:rsidRDefault="000612FE" w:rsidP="000E3391">
            <w:pPr>
              <w:widowControl w:val="0"/>
              <w:ind w:left="720" w:hanging="720"/>
              <w:jc w:val="center"/>
              <w:rPr>
                <w:sz w:val="22"/>
                <w:szCs w:val="22"/>
              </w:rPr>
            </w:pPr>
            <w:r w:rsidRPr="000612FE">
              <w:rPr>
                <w:sz w:val="22"/>
                <w:szCs w:val="22"/>
              </w:rPr>
              <w:t>72</w:t>
            </w:r>
          </w:p>
        </w:tc>
      </w:tr>
      <w:tr w:rsidR="000612FE" w:rsidRPr="000612FE" w:rsidTr="000612FE">
        <w:trPr>
          <w:trHeight w:val="255"/>
        </w:trPr>
        <w:tc>
          <w:tcPr>
            <w:tcW w:w="3946" w:type="dxa"/>
            <w:shd w:val="clear" w:color="auto" w:fill="auto"/>
            <w:vAlign w:val="bottom"/>
          </w:tcPr>
          <w:p w:rsidR="000612FE" w:rsidRPr="000612FE" w:rsidRDefault="000612FE" w:rsidP="000612FE">
            <w:pPr>
              <w:widowControl w:val="0"/>
              <w:ind w:left="720" w:hanging="720"/>
              <w:rPr>
                <w:b/>
                <w:sz w:val="22"/>
                <w:szCs w:val="22"/>
              </w:rPr>
            </w:pPr>
            <w:r w:rsidRPr="000612FE">
              <w:rPr>
                <w:b/>
                <w:sz w:val="22"/>
                <w:szCs w:val="22"/>
              </w:rPr>
              <w:t>TOTALS</w:t>
            </w:r>
          </w:p>
        </w:tc>
        <w:tc>
          <w:tcPr>
            <w:tcW w:w="1140" w:type="dxa"/>
            <w:shd w:val="clear" w:color="auto" w:fill="auto"/>
            <w:vAlign w:val="bottom"/>
          </w:tcPr>
          <w:p w:rsidR="000612FE" w:rsidRPr="000612FE" w:rsidRDefault="000612FE" w:rsidP="000E3391">
            <w:pPr>
              <w:widowControl w:val="0"/>
              <w:ind w:left="720" w:hanging="720"/>
              <w:jc w:val="center"/>
              <w:rPr>
                <w:b/>
                <w:sz w:val="22"/>
                <w:szCs w:val="22"/>
              </w:rPr>
            </w:pPr>
            <w:r w:rsidRPr="000612FE">
              <w:rPr>
                <w:b/>
                <w:sz w:val="22"/>
                <w:szCs w:val="22"/>
              </w:rPr>
              <w:t>2,369</w:t>
            </w:r>
          </w:p>
        </w:tc>
        <w:tc>
          <w:tcPr>
            <w:tcW w:w="1140" w:type="dxa"/>
            <w:shd w:val="clear" w:color="auto" w:fill="auto"/>
            <w:noWrap/>
            <w:vAlign w:val="bottom"/>
          </w:tcPr>
          <w:p w:rsidR="000612FE" w:rsidRPr="000612FE" w:rsidRDefault="000612FE" w:rsidP="000E3391">
            <w:pPr>
              <w:widowControl w:val="0"/>
              <w:ind w:left="720" w:hanging="720"/>
              <w:jc w:val="center"/>
              <w:rPr>
                <w:b/>
                <w:sz w:val="22"/>
                <w:szCs w:val="22"/>
              </w:rPr>
            </w:pPr>
            <w:r w:rsidRPr="000612FE">
              <w:rPr>
                <w:b/>
                <w:sz w:val="22"/>
                <w:szCs w:val="22"/>
              </w:rPr>
              <w:t>791</w:t>
            </w:r>
          </w:p>
        </w:tc>
        <w:tc>
          <w:tcPr>
            <w:tcW w:w="1211" w:type="dxa"/>
            <w:shd w:val="clear" w:color="auto" w:fill="auto"/>
            <w:noWrap/>
            <w:vAlign w:val="bottom"/>
          </w:tcPr>
          <w:p w:rsidR="000612FE" w:rsidRPr="000612FE" w:rsidRDefault="000612FE" w:rsidP="000E3391">
            <w:pPr>
              <w:widowControl w:val="0"/>
              <w:ind w:left="720" w:hanging="720"/>
              <w:jc w:val="center"/>
              <w:rPr>
                <w:b/>
                <w:sz w:val="22"/>
                <w:szCs w:val="22"/>
              </w:rPr>
            </w:pPr>
            <w:r w:rsidRPr="000612FE">
              <w:rPr>
                <w:b/>
                <w:sz w:val="22"/>
                <w:szCs w:val="22"/>
              </w:rPr>
              <w:t>867</w:t>
            </w:r>
          </w:p>
        </w:tc>
      </w:tr>
    </w:tbl>
    <w:p w:rsidR="000612FE" w:rsidRPr="000612FE" w:rsidRDefault="000612FE" w:rsidP="007E7326">
      <w:pPr>
        <w:widowControl w:val="0"/>
        <w:rPr>
          <w:sz w:val="22"/>
          <w:szCs w:val="22"/>
        </w:rPr>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Treasury and Financing</w:t>
      </w:r>
    </w:p>
    <w:p w:rsidR="000612FE" w:rsidRPr="000612FE" w:rsidRDefault="000612FE" w:rsidP="000612FE">
      <w:pPr>
        <w:widowControl w:val="0"/>
        <w:ind w:left="720" w:hanging="720"/>
        <w:rPr>
          <w:sz w:val="22"/>
          <w:szCs w:val="22"/>
          <w:u w:val="single"/>
        </w:rPr>
      </w:pPr>
    </w:p>
    <w:p w:rsidR="000612FE" w:rsidRPr="000612FE" w:rsidRDefault="000612FE" w:rsidP="000612FE">
      <w:pPr>
        <w:widowControl w:val="0"/>
        <w:ind w:left="720" w:hanging="720"/>
        <w:rPr>
          <w:sz w:val="22"/>
          <w:szCs w:val="22"/>
        </w:rPr>
      </w:pPr>
      <w:r w:rsidRPr="000612FE">
        <w:rPr>
          <w:sz w:val="22"/>
          <w:szCs w:val="22"/>
        </w:rPr>
        <w:t>2.8</w:t>
      </w:r>
      <w:r w:rsidRPr="000612FE">
        <w:rPr>
          <w:sz w:val="22"/>
          <w:szCs w:val="22"/>
        </w:rPr>
        <w:tab/>
        <w:t>The 2016/17 Treasury Management Strateg</w:t>
      </w:r>
      <w:r w:rsidR="007E7326">
        <w:rPr>
          <w:sz w:val="22"/>
          <w:szCs w:val="22"/>
        </w:rPr>
        <w:t>y report was presented to this C</w:t>
      </w:r>
      <w:r w:rsidRPr="000612FE">
        <w:rPr>
          <w:sz w:val="22"/>
          <w:szCs w:val="22"/>
        </w:rPr>
        <w:t>ommittee at the end of February 2016, after the annual budget had been agreed by full Council.  In this report it was noted that the estimate for returns on investments had been reduced from 0.9% to 0.6% following revised forecasts and advice after turmoil in the financial markets at the end of January.  Unfortunately following the EU Referendum,</w:t>
      </w:r>
      <w:r w:rsidR="006622AF">
        <w:rPr>
          <w:sz w:val="22"/>
          <w:szCs w:val="22"/>
        </w:rPr>
        <w:t xml:space="preserve"> the</w:t>
      </w:r>
      <w:r w:rsidRPr="000612FE">
        <w:rPr>
          <w:sz w:val="22"/>
          <w:szCs w:val="22"/>
        </w:rPr>
        <w:t xml:space="preserve"> base rate </w:t>
      </w:r>
      <w:r w:rsidR="00CD35C6">
        <w:rPr>
          <w:sz w:val="22"/>
          <w:szCs w:val="22"/>
        </w:rPr>
        <w:t>has fallen</w:t>
      </w:r>
      <w:r w:rsidRPr="000612FE">
        <w:rPr>
          <w:sz w:val="22"/>
          <w:szCs w:val="22"/>
        </w:rPr>
        <w:t xml:space="preserve"> to 0.25% and on the advice of the Council’s treasury management advisors we should plan for investment income of no more than 0.25% for the next two years.</w:t>
      </w:r>
    </w:p>
    <w:p w:rsidR="000612FE" w:rsidRPr="000612FE" w:rsidRDefault="000612FE" w:rsidP="000612FE">
      <w:pPr>
        <w:widowControl w:val="0"/>
        <w:ind w:left="720" w:hanging="720"/>
        <w:rPr>
          <w:sz w:val="22"/>
          <w:szCs w:val="22"/>
        </w:rPr>
      </w:pPr>
    </w:p>
    <w:p w:rsidR="000612FE" w:rsidRPr="000612FE" w:rsidRDefault="000E3391" w:rsidP="00BC4E78">
      <w:pPr>
        <w:widowControl w:val="0"/>
        <w:numPr>
          <w:ilvl w:val="1"/>
          <w:numId w:val="11"/>
        </w:numPr>
        <w:rPr>
          <w:sz w:val="22"/>
          <w:szCs w:val="22"/>
        </w:rPr>
      </w:pPr>
      <w:r>
        <w:rPr>
          <w:sz w:val="22"/>
          <w:szCs w:val="22"/>
        </w:rPr>
        <w:tab/>
      </w:r>
      <w:r w:rsidR="00CD35C6">
        <w:rPr>
          <w:sz w:val="22"/>
          <w:szCs w:val="22"/>
        </w:rPr>
        <w:t>During 2015/16</w:t>
      </w:r>
      <w:r w:rsidR="006622AF">
        <w:rPr>
          <w:sz w:val="22"/>
          <w:szCs w:val="22"/>
        </w:rPr>
        <w:t>,</w:t>
      </w:r>
      <w:r w:rsidR="00CD35C6">
        <w:rPr>
          <w:sz w:val="22"/>
          <w:szCs w:val="22"/>
        </w:rPr>
        <w:t xml:space="preserve"> O</w:t>
      </w:r>
      <w:r w:rsidR="000612FE" w:rsidRPr="000612FE">
        <w:rPr>
          <w:sz w:val="22"/>
          <w:szCs w:val="22"/>
        </w:rPr>
        <w:t xml:space="preserve">fficers managed to delay much of the planned external borrowing by </w:t>
      </w:r>
      <w:r>
        <w:rPr>
          <w:sz w:val="22"/>
          <w:szCs w:val="22"/>
        </w:rPr>
        <w:tab/>
      </w:r>
      <w:r w:rsidR="000612FE" w:rsidRPr="000612FE">
        <w:rPr>
          <w:sz w:val="22"/>
          <w:szCs w:val="22"/>
        </w:rPr>
        <w:t xml:space="preserve">utilising positive </w:t>
      </w:r>
      <w:proofErr w:type="spellStart"/>
      <w:r w:rsidR="000612FE" w:rsidRPr="000612FE">
        <w:rPr>
          <w:sz w:val="22"/>
          <w:szCs w:val="22"/>
        </w:rPr>
        <w:t>cashflows</w:t>
      </w:r>
      <w:proofErr w:type="spellEnd"/>
      <w:r w:rsidR="000612FE" w:rsidRPr="000612FE">
        <w:rPr>
          <w:sz w:val="22"/>
          <w:szCs w:val="22"/>
        </w:rPr>
        <w:t xml:space="preserve"> (creditors, receipts in advance </w:t>
      </w:r>
      <w:proofErr w:type="spellStart"/>
      <w:r w:rsidR="000612FE" w:rsidRPr="000612FE">
        <w:rPr>
          <w:sz w:val="22"/>
          <w:szCs w:val="22"/>
        </w:rPr>
        <w:t>etc</w:t>
      </w:r>
      <w:proofErr w:type="spellEnd"/>
      <w:r w:rsidR="000612FE" w:rsidRPr="000612FE">
        <w:rPr>
          <w:sz w:val="22"/>
          <w:szCs w:val="22"/>
        </w:rPr>
        <w:t xml:space="preserve">) and borrowing internally </w:t>
      </w:r>
      <w:r w:rsidR="00CD35C6">
        <w:rPr>
          <w:sz w:val="22"/>
          <w:szCs w:val="22"/>
        </w:rPr>
        <w:tab/>
      </w:r>
      <w:r w:rsidR="000612FE" w:rsidRPr="000612FE">
        <w:rPr>
          <w:sz w:val="22"/>
          <w:szCs w:val="22"/>
        </w:rPr>
        <w:t xml:space="preserve">(collection fund balances </w:t>
      </w:r>
      <w:proofErr w:type="spellStart"/>
      <w:r w:rsidR="000612FE" w:rsidRPr="000612FE">
        <w:rPr>
          <w:sz w:val="22"/>
          <w:szCs w:val="22"/>
        </w:rPr>
        <w:t>etc</w:t>
      </w:r>
      <w:proofErr w:type="spellEnd"/>
      <w:r w:rsidR="000612FE" w:rsidRPr="000612FE">
        <w:rPr>
          <w:sz w:val="22"/>
          <w:szCs w:val="22"/>
        </w:rPr>
        <w:t xml:space="preserve">).  This has meant that the level of money available for future </w:t>
      </w:r>
      <w:r w:rsidR="00CD35C6">
        <w:rPr>
          <w:sz w:val="22"/>
          <w:szCs w:val="22"/>
        </w:rPr>
        <w:tab/>
      </w:r>
      <w:r w:rsidR="000612FE" w:rsidRPr="000612FE">
        <w:rPr>
          <w:sz w:val="22"/>
          <w:szCs w:val="22"/>
        </w:rPr>
        <w:t xml:space="preserve">investment has reduced significantly as surplus cash has been used to finance capital </w:t>
      </w:r>
      <w:r w:rsidR="00CD35C6">
        <w:rPr>
          <w:sz w:val="22"/>
          <w:szCs w:val="22"/>
        </w:rPr>
        <w:tab/>
      </w:r>
      <w:r w:rsidR="000612FE" w:rsidRPr="000612FE">
        <w:rPr>
          <w:sz w:val="22"/>
          <w:szCs w:val="22"/>
        </w:rPr>
        <w:t xml:space="preserve">projects in the short term.  However, whilst this will further reduce the level of investment </w:t>
      </w:r>
      <w:r w:rsidR="00CD35C6">
        <w:rPr>
          <w:sz w:val="22"/>
          <w:szCs w:val="22"/>
        </w:rPr>
        <w:tab/>
      </w:r>
      <w:r w:rsidR="000612FE" w:rsidRPr="000612FE">
        <w:rPr>
          <w:sz w:val="22"/>
          <w:szCs w:val="22"/>
        </w:rPr>
        <w:t xml:space="preserve">income to the Council, this should be offset by lower borrowing costs.  </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2.10</w:t>
      </w:r>
      <w:r w:rsidRPr="000612FE">
        <w:rPr>
          <w:sz w:val="22"/>
          <w:szCs w:val="22"/>
        </w:rPr>
        <w:tab/>
        <w:t xml:space="preserve">A full report on all treasury activity during the first six months of the year will be reported to both this </w:t>
      </w:r>
      <w:r w:rsidR="00CD35C6">
        <w:rPr>
          <w:sz w:val="22"/>
          <w:szCs w:val="22"/>
        </w:rPr>
        <w:t>C</w:t>
      </w:r>
      <w:r w:rsidRPr="000612FE">
        <w:rPr>
          <w:sz w:val="22"/>
          <w:szCs w:val="22"/>
        </w:rPr>
        <w:t>ommittee and the Overview and Scrutiny Select Committee in the autumn.</w:t>
      </w:r>
    </w:p>
    <w:p w:rsidR="000612FE" w:rsidRPr="000612FE" w:rsidRDefault="000612FE" w:rsidP="000612FE">
      <w:pPr>
        <w:widowControl w:val="0"/>
        <w:ind w:left="720" w:hanging="720"/>
        <w:rPr>
          <w:sz w:val="22"/>
          <w:szCs w:val="22"/>
        </w:rPr>
      </w:pPr>
    </w:p>
    <w:p w:rsidR="006622AF" w:rsidRDefault="006622AF" w:rsidP="000612FE">
      <w:pPr>
        <w:widowControl w:val="0"/>
        <w:ind w:left="720" w:hanging="720"/>
        <w:rPr>
          <w:sz w:val="22"/>
          <w:szCs w:val="22"/>
        </w:rPr>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Government Grants</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2.11</w:t>
      </w:r>
      <w:r w:rsidRPr="000612FE">
        <w:rPr>
          <w:sz w:val="22"/>
          <w:szCs w:val="22"/>
        </w:rPr>
        <w:tab/>
        <w:t xml:space="preserve">Government Grants encompass the Revenue Support Grant, New Homes Bonus Grant and </w:t>
      </w:r>
      <w:r w:rsidRPr="000612FE">
        <w:rPr>
          <w:sz w:val="22"/>
          <w:szCs w:val="22"/>
        </w:rPr>
        <w:lastRenderedPageBreak/>
        <w:t>any other non-service specific grants that the government release during the year.  At the current time there is no change to the original estimate for these grants other than a small increase in the New Homes Bonus.</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Business Rates and Council Tax Collection</w:t>
      </w:r>
    </w:p>
    <w:p w:rsidR="000612FE" w:rsidRPr="000612FE" w:rsidRDefault="000612FE" w:rsidP="000612FE">
      <w:pPr>
        <w:widowControl w:val="0"/>
        <w:ind w:left="720" w:hanging="720"/>
        <w:rPr>
          <w:sz w:val="22"/>
          <w:szCs w:val="22"/>
          <w:u w:val="single"/>
        </w:rPr>
      </w:pPr>
    </w:p>
    <w:p w:rsidR="000612FE" w:rsidRPr="000612FE" w:rsidRDefault="000612FE" w:rsidP="000612FE">
      <w:pPr>
        <w:widowControl w:val="0"/>
        <w:ind w:left="720" w:hanging="720"/>
        <w:rPr>
          <w:sz w:val="22"/>
          <w:szCs w:val="22"/>
        </w:rPr>
      </w:pPr>
      <w:r w:rsidRPr="000612FE">
        <w:rPr>
          <w:sz w:val="22"/>
          <w:szCs w:val="22"/>
        </w:rPr>
        <w:t>2.12</w:t>
      </w:r>
      <w:r w:rsidRPr="000612FE">
        <w:rPr>
          <w:sz w:val="22"/>
          <w:szCs w:val="22"/>
        </w:rPr>
        <w:tab/>
        <w:t>A significant income stream for the Council is the income from taxation.  Collection rates for both business rates and council tax are monitored on a weekly basis by the Corporate Head of Resources.  Collection rates for the period (as at 1 July) were as follows:</w:t>
      </w:r>
    </w:p>
    <w:p w:rsidR="000612FE" w:rsidRPr="000612FE" w:rsidRDefault="000612FE" w:rsidP="000612FE">
      <w:pPr>
        <w:widowControl w:val="0"/>
        <w:ind w:left="720" w:hanging="720"/>
        <w:rPr>
          <w:sz w:val="22"/>
          <w:szCs w:val="22"/>
        </w:rPr>
      </w:pP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2"/>
        <w:gridCol w:w="1134"/>
        <w:gridCol w:w="1195"/>
      </w:tblGrid>
      <w:tr w:rsidR="000612FE" w:rsidRPr="000612FE" w:rsidTr="000E3391">
        <w:tc>
          <w:tcPr>
            <w:tcW w:w="7671" w:type="dxa"/>
            <w:gridSpan w:val="3"/>
            <w:shd w:val="clear" w:color="auto" w:fill="BFBFBF" w:themeFill="background1" w:themeFillShade="BF"/>
          </w:tcPr>
          <w:p w:rsidR="000612FE" w:rsidRPr="000612FE" w:rsidRDefault="000612FE" w:rsidP="000E3391">
            <w:pPr>
              <w:widowControl w:val="0"/>
              <w:ind w:left="720" w:hanging="720"/>
              <w:jc w:val="center"/>
              <w:rPr>
                <w:b/>
                <w:sz w:val="22"/>
                <w:szCs w:val="22"/>
              </w:rPr>
            </w:pPr>
            <w:r w:rsidRPr="000612FE">
              <w:rPr>
                <w:b/>
                <w:sz w:val="22"/>
                <w:szCs w:val="22"/>
              </w:rPr>
              <w:t>Table 6 – Collection rates</w:t>
            </w:r>
          </w:p>
        </w:tc>
      </w:tr>
      <w:tr w:rsidR="000E3391" w:rsidRPr="000612FE" w:rsidTr="000E3391">
        <w:tc>
          <w:tcPr>
            <w:tcW w:w="5342" w:type="dxa"/>
          </w:tcPr>
          <w:p w:rsidR="000E3391" w:rsidRPr="000612FE" w:rsidRDefault="000E3391" w:rsidP="000612FE">
            <w:pPr>
              <w:widowControl w:val="0"/>
              <w:ind w:left="720" w:hanging="720"/>
              <w:rPr>
                <w:sz w:val="22"/>
                <w:szCs w:val="22"/>
              </w:rPr>
            </w:pPr>
          </w:p>
        </w:tc>
        <w:tc>
          <w:tcPr>
            <w:tcW w:w="1134" w:type="dxa"/>
          </w:tcPr>
          <w:p w:rsidR="000E3391" w:rsidRDefault="000E3391" w:rsidP="00E02B98">
            <w:pPr>
              <w:widowControl w:val="0"/>
              <w:ind w:left="720" w:hanging="720"/>
              <w:rPr>
                <w:b/>
                <w:bCs/>
                <w:sz w:val="22"/>
                <w:szCs w:val="22"/>
              </w:rPr>
            </w:pPr>
            <w:r>
              <w:rPr>
                <w:b/>
                <w:bCs/>
                <w:sz w:val="22"/>
                <w:szCs w:val="22"/>
              </w:rPr>
              <w:t xml:space="preserve">Council </w:t>
            </w:r>
          </w:p>
          <w:p w:rsidR="000E3391" w:rsidRPr="000612FE" w:rsidRDefault="000E3391" w:rsidP="00E02B98">
            <w:pPr>
              <w:widowControl w:val="0"/>
              <w:ind w:left="720" w:hanging="720"/>
              <w:rPr>
                <w:b/>
                <w:bCs/>
                <w:sz w:val="22"/>
                <w:szCs w:val="22"/>
              </w:rPr>
            </w:pPr>
            <w:r>
              <w:rPr>
                <w:b/>
                <w:bCs/>
                <w:sz w:val="22"/>
                <w:szCs w:val="22"/>
              </w:rPr>
              <w:t>Tax</w:t>
            </w:r>
          </w:p>
          <w:p w:rsidR="000E3391" w:rsidRPr="000612FE" w:rsidRDefault="000E3391" w:rsidP="00E02B98">
            <w:pPr>
              <w:widowControl w:val="0"/>
              <w:ind w:left="720" w:hanging="720"/>
              <w:rPr>
                <w:b/>
                <w:bCs/>
                <w:sz w:val="22"/>
                <w:szCs w:val="22"/>
              </w:rPr>
            </w:pPr>
            <w:r w:rsidRPr="000612FE">
              <w:rPr>
                <w:b/>
                <w:bCs/>
                <w:sz w:val="22"/>
                <w:szCs w:val="22"/>
              </w:rPr>
              <w:t>£</w:t>
            </w:r>
            <w:r>
              <w:rPr>
                <w:b/>
                <w:bCs/>
                <w:sz w:val="22"/>
                <w:szCs w:val="22"/>
              </w:rPr>
              <w:t>’</w:t>
            </w:r>
            <w:r w:rsidRPr="000612FE">
              <w:rPr>
                <w:b/>
                <w:bCs/>
                <w:sz w:val="22"/>
                <w:szCs w:val="22"/>
              </w:rPr>
              <w:t>000</w:t>
            </w:r>
          </w:p>
        </w:tc>
        <w:tc>
          <w:tcPr>
            <w:tcW w:w="1195" w:type="dxa"/>
          </w:tcPr>
          <w:p w:rsidR="000E3391" w:rsidRDefault="000E3391" w:rsidP="000E3391">
            <w:pPr>
              <w:widowControl w:val="0"/>
              <w:rPr>
                <w:b/>
                <w:bCs/>
                <w:sz w:val="22"/>
                <w:szCs w:val="22"/>
              </w:rPr>
            </w:pPr>
            <w:r>
              <w:rPr>
                <w:b/>
                <w:bCs/>
                <w:sz w:val="22"/>
                <w:szCs w:val="22"/>
              </w:rPr>
              <w:t>Business</w:t>
            </w:r>
          </w:p>
          <w:p w:rsidR="000E3391" w:rsidRPr="000612FE" w:rsidRDefault="000E3391" w:rsidP="000E3391">
            <w:pPr>
              <w:widowControl w:val="0"/>
              <w:rPr>
                <w:b/>
                <w:bCs/>
                <w:sz w:val="22"/>
                <w:szCs w:val="22"/>
              </w:rPr>
            </w:pPr>
            <w:r>
              <w:rPr>
                <w:b/>
                <w:bCs/>
                <w:sz w:val="22"/>
                <w:szCs w:val="22"/>
              </w:rPr>
              <w:t>Rates</w:t>
            </w:r>
          </w:p>
          <w:p w:rsidR="000E3391" w:rsidRPr="000612FE" w:rsidRDefault="000E3391" w:rsidP="00E02B98">
            <w:pPr>
              <w:widowControl w:val="0"/>
              <w:ind w:left="720" w:hanging="720"/>
              <w:rPr>
                <w:b/>
                <w:bCs/>
                <w:sz w:val="22"/>
                <w:szCs w:val="22"/>
              </w:rPr>
            </w:pPr>
            <w:r w:rsidRPr="000612FE">
              <w:rPr>
                <w:b/>
                <w:bCs/>
                <w:sz w:val="22"/>
                <w:szCs w:val="22"/>
              </w:rPr>
              <w:t>£</w:t>
            </w:r>
            <w:r>
              <w:rPr>
                <w:b/>
                <w:bCs/>
                <w:sz w:val="22"/>
                <w:szCs w:val="22"/>
              </w:rPr>
              <w:t>’</w:t>
            </w:r>
            <w:r w:rsidRPr="000612FE">
              <w:rPr>
                <w:b/>
                <w:bCs/>
                <w:sz w:val="22"/>
                <w:szCs w:val="22"/>
              </w:rPr>
              <w:t>000</w:t>
            </w: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Collectable debit for the year</w:t>
            </w:r>
          </w:p>
        </w:tc>
        <w:tc>
          <w:tcPr>
            <w:tcW w:w="1134" w:type="dxa"/>
          </w:tcPr>
          <w:p w:rsidR="000612FE" w:rsidRPr="000612FE" w:rsidRDefault="000612FE" w:rsidP="000612FE">
            <w:pPr>
              <w:widowControl w:val="0"/>
              <w:ind w:left="720" w:hanging="720"/>
              <w:rPr>
                <w:sz w:val="22"/>
                <w:szCs w:val="22"/>
              </w:rPr>
            </w:pPr>
            <w:r w:rsidRPr="000612FE">
              <w:rPr>
                <w:sz w:val="22"/>
                <w:szCs w:val="22"/>
              </w:rPr>
              <w:t>54,731</w:t>
            </w:r>
          </w:p>
        </w:tc>
        <w:tc>
          <w:tcPr>
            <w:tcW w:w="1195" w:type="dxa"/>
          </w:tcPr>
          <w:p w:rsidR="000612FE" w:rsidRPr="000612FE" w:rsidRDefault="000612FE" w:rsidP="000612FE">
            <w:pPr>
              <w:widowControl w:val="0"/>
              <w:ind w:left="720" w:hanging="720"/>
              <w:rPr>
                <w:sz w:val="22"/>
                <w:szCs w:val="22"/>
              </w:rPr>
            </w:pPr>
            <w:r w:rsidRPr="000612FE">
              <w:rPr>
                <w:sz w:val="22"/>
                <w:szCs w:val="22"/>
              </w:rPr>
              <w:t>47,043</w:t>
            </w: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Cash received for period</w:t>
            </w:r>
          </w:p>
        </w:tc>
        <w:tc>
          <w:tcPr>
            <w:tcW w:w="1134" w:type="dxa"/>
          </w:tcPr>
          <w:p w:rsidR="000612FE" w:rsidRPr="000612FE" w:rsidRDefault="000612FE" w:rsidP="000612FE">
            <w:pPr>
              <w:widowControl w:val="0"/>
              <w:ind w:left="720" w:hanging="720"/>
              <w:rPr>
                <w:sz w:val="22"/>
                <w:szCs w:val="22"/>
              </w:rPr>
            </w:pPr>
            <w:r w:rsidRPr="000612FE">
              <w:rPr>
                <w:sz w:val="22"/>
                <w:szCs w:val="22"/>
              </w:rPr>
              <w:t>21,456</w:t>
            </w:r>
          </w:p>
        </w:tc>
        <w:tc>
          <w:tcPr>
            <w:tcW w:w="1195" w:type="dxa"/>
          </w:tcPr>
          <w:p w:rsidR="000612FE" w:rsidRPr="000612FE" w:rsidRDefault="000612FE" w:rsidP="000612FE">
            <w:pPr>
              <w:widowControl w:val="0"/>
              <w:ind w:left="720" w:hanging="720"/>
              <w:rPr>
                <w:sz w:val="22"/>
                <w:szCs w:val="22"/>
              </w:rPr>
            </w:pPr>
            <w:r w:rsidRPr="000612FE">
              <w:rPr>
                <w:sz w:val="22"/>
                <w:szCs w:val="22"/>
              </w:rPr>
              <w:t>17,026</w:t>
            </w:r>
          </w:p>
        </w:tc>
      </w:tr>
      <w:tr w:rsidR="000612FE" w:rsidRPr="000612FE" w:rsidTr="000E3391">
        <w:tc>
          <w:tcPr>
            <w:tcW w:w="5342" w:type="dxa"/>
          </w:tcPr>
          <w:p w:rsidR="000612FE" w:rsidRPr="000612FE" w:rsidRDefault="000612FE" w:rsidP="000612FE">
            <w:pPr>
              <w:widowControl w:val="0"/>
              <w:ind w:left="720" w:hanging="720"/>
              <w:rPr>
                <w:sz w:val="22"/>
                <w:szCs w:val="22"/>
              </w:rPr>
            </w:pPr>
          </w:p>
        </w:tc>
        <w:tc>
          <w:tcPr>
            <w:tcW w:w="1134" w:type="dxa"/>
          </w:tcPr>
          <w:p w:rsidR="000612FE" w:rsidRPr="000612FE" w:rsidRDefault="000612FE" w:rsidP="000612FE">
            <w:pPr>
              <w:widowControl w:val="0"/>
              <w:ind w:left="720" w:hanging="720"/>
              <w:rPr>
                <w:sz w:val="22"/>
                <w:szCs w:val="22"/>
              </w:rPr>
            </w:pPr>
          </w:p>
        </w:tc>
        <w:tc>
          <w:tcPr>
            <w:tcW w:w="1195" w:type="dxa"/>
          </w:tcPr>
          <w:p w:rsidR="000612FE" w:rsidRPr="000612FE" w:rsidRDefault="000612FE" w:rsidP="000612FE">
            <w:pPr>
              <w:widowControl w:val="0"/>
              <w:ind w:left="720" w:hanging="720"/>
              <w:rPr>
                <w:sz w:val="22"/>
                <w:szCs w:val="22"/>
              </w:rPr>
            </w:pP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 xml:space="preserve">% of cash received to date – Target </w:t>
            </w:r>
          </w:p>
        </w:tc>
        <w:tc>
          <w:tcPr>
            <w:tcW w:w="1134" w:type="dxa"/>
          </w:tcPr>
          <w:p w:rsidR="000612FE" w:rsidRPr="000612FE" w:rsidRDefault="000612FE" w:rsidP="000612FE">
            <w:pPr>
              <w:widowControl w:val="0"/>
              <w:ind w:left="720" w:hanging="720"/>
              <w:rPr>
                <w:sz w:val="22"/>
                <w:szCs w:val="22"/>
              </w:rPr>
            </w:pPr>
            <w:r w:rsidRPr="000612FE">
              <w:rPr>
                <w:sz w:val="22"/>
                <w:szCs w:val="22"/>
              </w:rPr>
              <w:t>39.20%</w:t>
            </w:r>
          </w:p>
        </w:tc>
        <w:tc>
          <w:tcPr>
            <w:tcW w:w="1195" w:type="dxa"/>
          </w:tcPr>
          <w:p w:rsidR="000612FE" w:rsidRPr="000612FE" w:rsidRDefault="000612FE" w:rsidP="000612FE">
            <w:pPr>
              <w:widowControl w:val="0"/>
              <w:ind w:left="720" w:hanging="720"/>
              <w:rPr>
                <w:sz w:val="22"/>
                <w:szCs w:val="22"/>
              </w:rPr>
            </w:pPr>
            <w:r w:rsidRPr="000612FE">
              <w:rPr>
                <w:sz w:val="22"/>
                <w:szCs w:val="22"/>
              </w:rPr>
              <w:t>36.19%</w:t>
            </w: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 xml:space="preserve">% of cash received to date – Actual </w:t>
            </w:r>
          </w:p>
        </w:tc>
        <w:tc>
          <w:tcPr>
            <w:tcW w:w="1134" w:type="dxa"/>
          </w:tcPr>
          <w:p w:rsidR="000612FE" w:rsidRPr="000612FE" w:rsidRDefault="000612FE" w:rsidP="000612FE">
            <w:pPr>
              <w:widowControl w:val="0"/>
              <w:ind w:left="720" w:hanging="720"/>
              <w:rPr>
                <w:sz w:val="22"/>
                <w:szCs w:val="22"/>
              </w:rPr>
            </w:pPr>
            <w:r w:rsidRPr="000612FE">
              <w:rPr>
                <w:sz w:val="22"/>
                <w:szCs w:val="22"/>
              </w:rPr>
              <w:t>38.90%</w:t>
            </w:r>
          </w:p>
        </w:tc>
        <w:tc>
          <w:tcPr>
            <w:tcW w:w="1195" w:type="dxa"/>
          </w:tcPr>
          <w:p w:rsidR="000612FE" w:rsidRPr="000612FE" w:rsidRDefault="000612FE" w:rsidP="000612FE">
            <w:pPr>
              <w:widowControl w:val="0"/>
              <w:ind w:left="720" w:hanging="720"/>
              <w:rPr>
                <w:sz w:val="22"/>
                <w:szCs w:val="22"/>
              </w:rPr>
            </w:pPr>
            <w:r w:rsidRPr="000612FE">
              <w:rPr>
                <w:sz w:val="22"/>
                <w:szCs w:val="22"/>
              </w:rPr>
              <w:t>36.20%</w:t>
            </w:r>
          </w:p>
        </w:tc>
      </w:tr>
      <w:tr w:rsidR="000612FE" w:rsidRPr="000612FE" w:rsidTr="000E3391">
        <w:tc>
          <w:tcPr>
            <w:tcW w:w="5342" w:type="dxa"/>
          </w:tcPr>
          <w:p w:rsidR="000612FE" w:rsidRPr="000612FE" w:rsidRDefault="000612FE" w:rsidP="000612FE">
            <w:pPr>
              <w:widowControl w:val="0"/>
              <w:ind w:left="720" w:hanging="720"/>
              <w:rPr>
                <w:sz w:val="22"/>
                <w:szCs w:val="22"/>
              </w:rPr>
            </w:pPr>
          </w:p>
        </w:tc>
        <w:tc>
          <w:tcPr>
            <w:tcW w:w="1134" w:type="dxa"/>
          </w:tcPr>
          <w:p w:rsidR="000612FE" w:rsidRPr="000612FE" w:rsidRDefault="000612FE" w:rsidP="000612FE">
            <w:pPr>
              <w:widowControl w:val="0"/>
              <w:ind w:left="720" w:hanging="720"/>
              <w:rPr>
                <w:sz w:val="22"/>
                <w:szCs w:val="22"/>
              </w:rPr>
            </w:pPr>
          </w:p>
        </w:tc>
        <w:tc>
          <w:tcPr>
            <w:tcW w:w="1195" w:type="dxa"/>
          </w:tcPr>
          <w:p w:rsidR="000612FE" w:rsidRPr="000612FE" w:rsidRDefault="000612FE" w:rsidP="000612FE">
            <w:pPr>
              <w:widowControl w:val="0"/>
              <w:ind w:left="720" w:hanging="720"/>
              <w:rPr>
                <w:sz w:val="22"/>
                <w:szCs w:val="22"/>
              </w:rPr>
            </w:pP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 of cash received for the year – Target</w:t>
            </w:r>
          </w:p>
        </w:tc>
        <w:tc>
          <w:tcPr>
            <w:tcW w:w="1134" w:type="dxa"/>
          </w:tcPr>
          <w:p w:rsidR="000612FE" w:rsidRPr="000612FE" w:rsidRDefault="000612FE" w:rsidP="000612FE">
            <w:pPr>
              <w:widowControl w:val="0"/>
              <w:ind w:left="720" w:hanging="720"/>
              <w:rPr>
                <w:sz w:val="22"/>
                <w:szCs w:val="22"/>
              </w:rPr>
            </w:pPr>
            <w:r w:rsidRPr="000612FE">
              <w:rPr>
                <w:sz w:val="22"/>
                <w:szCs w:val="22"/>
              </w:rPr>
              <w:t>99.00%</w:t>
            </w:r>
          </w:p>
        </w:tc>
        <w:tc>
          <w:tcPr>
            <w:tcW w:w="1195" w:type="dxa"/>
          </w:tcPr>
          <w:p w:rsidR="000612FE" w:rsidRPr="000612FE" w:rsidRDefault="000612FE" w:rsidP="000612FE">
            <w:pPr>
              <w:widowControl w:val="0"/>
              <w:ind w:left="720" w:hanging="720"/>
              <w:rPr>
                <w:sz w:val="22"/>
                <w:szCs w:val="22"/>
              </w:rPr>
            </w:pPr>
            <w:r w:rsidRPr="000612FE">
              <w:rPr>
                <w:sz w:val="22"/>
                <w:szCs w:val="22"/>
              </w:rPr>
              <w:t>99.00%</w:t>
            </w:r>
          </w:p>
        </w:tc>
      </w:tr>
      <w:tr w:rsidR="000612FE" w:rsidRPr="000612FE" w:rsidTr="000E3391">
        <w:tc>
          <w:tcPr>
            <w:tcW w:w="5342" w:type="dxa"/>
          </w:tcPr>
          <w:p w:rsidR="000612FE" w:rsidRPr="000612FE" w:rsidRDefault="000612FE" w:rsidP="000612FE">
            <w:pPr>
              <w:widowControl w:val="0"/>
              <w:ind w:left="720" w:hanging="720"/>
              <w:rPr>
                <w:sz w:val="22"/>
                <w:szCs w:val="22"/>
              </w:rPr>
            </w:pPr>
          </w:p>
        </w:tc>
        <w:tc>
          <w:tcPr>
            <w:tcW w:w="1134" w:type="dxa"/>
          </w:tcPr>
          <w:p w:rsidR="000612FE" w:rsidRPr="000612FE" w:rsidRDefault="000612FE" w:rsidP="000612FE">
            <w:pPr>
              <w:widowControl w:val="0"/>
              <w:ind w:left="720" w:hanging="720"/>
              <w:rPr>
                <w:sz w:val="22"/>
                <w:szCs w:val="22"/>
              </w:rPr>
            </w:pPr>
          </w:p>
        </w:tc>
        <w:tc>
          <w:tcPr>
            <w:tcW w:w="1195" w:type="dxa"/>
          </w:tcPr>
          <w:p w:rsidR="000612FE" w:rsidRPr="000612FE" w:rsidRDefault="000612FE" w:rsidP="000612FE">
            <w:pPr>
              <w:widowControl w:val="0"/>
              <w:ind w:left="720" w:hanging="720"/>
              <w:rPr>
                <w:sz w:val="22"/>
                <w:szCs w:val="22"/>
              </w:rPr>
            </w:pPr>
          </w:p>
        </w:tc>
      </w:tr>
      <w:tr w:rsidR="000612FE" w:rsidRPr="000612FE" w:rsidTr="000E3391">
        <w:tc>
          <w:tcPr>
            <w:tcW w:w="5342" w:type="dxa"/>
          </w:tcPr>
          <w:p w:rsidR="000612FE" w:rsidRPr="000612FE" w:rsidRDefault="000612FE" w:rsidP="000612FE">
            <w:pPr>
              <w:widowControl w:val="0"/>
              <w:ind w:left="720" w:hanging="720"/>
              <w:rPr>
                <w:sz w:val="22"/>
                <w:szCs w:val="22"/>
              </w:rPr>
            </w:pPr>
            <w:r w:rsidRPr="000612FE">
              <w:rPr>
                <w:sz w:val="22"/>
                <w:szCs w:val="22"/>
              </w:rPr>
              <w:t>% of collectable debit written off</w:t>
            </w:r>
          </w:p>
        </w:tc>
        <w:tc>
          <w:tcPr>
            <w:tcW w:w="1134" w:type="dxa"/>
          </w:tcPr>
          <w:p w:rsidR="000612FE" w:rsidRPr="000612FE" w:rsidRDefault="000612FE" w:rsidP="000612FE">
            <w:pPr>
              <w:widowControl w:val="0"/>
              <w:ind w:left="720" w:hanging="720"/>
              <w:rPr>
                <w:sz w:val="22"/>
                <w:szCs w:val="22"/>
              </w:rPr>
            </w:pPr>
            <w:r w:rsidRPr="000612FE">
              <w:rPr>
                <w:sz w:val="22"/>
                <w:szCs w:val="22"/>
              </w:rPr>
              <w:t>0.00%</w:t>
            </w:r>
          </w:p>
        </w:tc>
        <w:tc>
          <w:tcPr>
            <w:tcW w:w="1195" w:type="dxa"/>
          </w:tcPr>
          <w:p w:rsidR="000612FE" w:rsidRPr="000612FE" w:rsidRDefault="000612FE" w:rsidP="000612FE">
            <w:pPr>
              <w:widowControl w:val="0"/>
              <w:ind w:left="720" w:hanging="720"/>
              <w:rPr>
                <w:sz w:val="22"/>
                <w:szCs w:val="22"/>
              </w:rPr>
            </w:pPr>
            <w:r w:rsidRPr="000612FE">
              <w:rPr>
                <w:sz w:val="22"/>
                <w:szCs w:val="22"/>
              </w:rPr>
              <w:t>0.00%</w:t>
            </w:r>
          </w:p>
        </w:tc>
      </w:tr>
    </w:tbl>
    <w:p w:rsidR="000612FE" w:rsidRPr="000612FE" w:rsidRDefault="000612FE" w:rsidP="007E7326">
      <w:pPr>
        <w:widowControl w:val="0"/>
        <w:rPr>
          <w:sz w:val="22"/>
          <w:szCs w:val="22"/>
        </w:rPr>
      </w:pPr>
    </w:p>
    <w:p w:rsidR="000612FE" w:rsidRPr="000612FE" w:rsidRDefault="000612FE" w:rsidP="000612FE">
      <w:pPr>
        <w:widowControl w:val="0"/>
        <w:ind w:left="720" w:hanging="720"/>
        <w:rPr>
          <w:b/>
          <w:sz w:val="22"/>
          <w:szCs w:val="22"/>
          <w:u w:val="single"/>
        </w:rPr>
      </w:pPr>
      <w:r w:rsidRPr="00DB578B">
        <w:rPr>
          <w:b/>
          <w:sz w:val="22"/>
          <w:szCs w:val="22"/>
        </w:rPr>
        <w:t>3</w:t>
      </w:r>
      <w:r w:rsidRPr="000612FE">
        <w:rPr>
          <w:b/>
          <w:sz w:val="22"/>
          <w:szCs w:val="22"/>
        </w:rPr>
        <w:tab/>
      </w:r>
      <w:r w:rsidRPr="00CD35C6">
        <w:rPr>
          <w:b/>
          <w:sz w:val="22"/>
          <w:szCs w:val="22"/>
        </w:rPr>
        <w:t>Housing Revenue Account (HRA)</w:t>
      </w:r>
    </w:p>
    <w:p w:rsidR="000612FE" w:rsidRPr="000612FE" w:rsidRDefault="000612FE" w:rsidP="000612FE">
      <w:pPr>
        <w:widowControl w:val="0"/>
        <w:ind w:left="720" w:hanging="720"/>
        <w:rPr>
          <w:sz w:val="22"/>
          <w:szCs w:val="22"/>
          <w:u w:val="single"/>
        </w:rPr>
      </w:pPr>
    </w:p>
    <w:p w:rsidR="000612FE" w:rsidRPr="000612FE" w:rsidRDefault="000612FE" w:rsidP="000612FE">
      <w:pPr>
        <w:widowControl w:val="0"/>
        <w:ind w:left="720" w:hanging="720"/>
        <w:rPr>
          <w:sz w:val="22"/>
          <w:szCs w:val="22"/>
        </w:rPr>
      </w:pPr>
      <w:r w:rsidRPr="000612FE">
        <w:rPr>
          <w:sz w:val="22"/>
          <w:szCs w:val="22"/>
        </w:rPr>
        <w:t>3.1</w:t>
      </w:r>
      <w:r w:rsidRPr="000612FE">
        <w:rPr>
          <w:sz w:val="22"/>
          <w:szCs w:val="22"/>
        </w:rPr>
        <w:tab/>
        <w:t>The detailed Housing Revenue Account budget for 2016/17 was approved by in February 2016 showing a surplus for the year of £3.681m.   The projected year-end surplus for the HRA is now expected to be £3.634m a reduction of £0.047m. The more significant var</w:t>
      </w:r>
      <w:r w:rsidR="007E7326">
        <w:rPr>
          <w:sz w:val="22"/>
          <w:szCs w:val="22"/>
        </w:rPr>
        <w:t>iances are listed in table 7</w:t>
      </w:r>
      <w:r w:rsidRPr="000612FE">
        <w:rPr>
          <w:sz w:val="22"/>
          <w:szCs w:val="22"/>
        </w:rPr>
        <w:t xml:space="preserve"> below:</w:t>
      </w:r>
    </w:p>
    <w:p w:rsidR="000612FE" w:rsidRPr="000612FE" w:rsidRDefault="000612FE" w:rsidP="000612FE">
      <w:pPr>
        <w:widowControl w:val="0"/>
        <w:ind w:left="720" w:hanging="720"/>
        <w:rPr>
          <w:sz w:val="22"/>
          <w:szCs w:val="22"/>
        </w:rPr>
      </w:pPr>
      <w:r w:rsidRPr="000612FE">
        <w:rPr>
          <w:sz w:val="22"/>
          <w:szCs w:val="22"/>
        </w:rPr>
        <w:tab/>
      </w:r>
      <w:r w:rsidRPr="000612FE">
        <w:rPr>
          <w:sz w:val="22"/>
          <w:szCs w:val="22"/>
        </w:rPr>
        <w:tab/>
      </w:r>
    </w:p>
    <w:tbl>
      <w:tblPr>
        <w:tblW w:w="8211"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651"/>
        <w:gridCol w:w="1560"/>
      </w:tblGrid>
      <w:tr w:rsidR="000612FE" w:rsidRPr="000612FE" w:rsidTr="000612FE">
        <w:trPr>
          <w:trHeight w:val="255"/>
        </w:trPr>
        <w:tc>
          <w:tcPr>
            <w:tcW w:w="8211"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noWrap/>
            <w:vAlign w:val="bottom"/>
          </w:tcPr>
          <w:p w:rsidR="000612FE" w:rsidRPr="000612FE" w:rsidRDefault="000612FE" w:rsidP="000E3391">
            <w:pPr>
              <w:widowControl w:val="0"/>
              <w:ind w:left="720" w:hanging="720"/>
              <w:jc w:val="center"/>
              <w:rPr>
                <w:b/>
                <w:sz w:val="22"/>
                <w:szCs w:val="22"/>
              </w:rPr>
            </w:pPr>
            <w:r w:rsidRPr="000612FE">
              <w:rPr>
                <w:b/>
                <w:sz w:val="22"/>
                <w:szCs w:val="22"/>
              </w:rPr>
              <w:t>Table 7 – Predicted HRA surplus for 2016/17</w:t>
            </w:r>
          </w:p>
        </w:tc>
      </w:tr>
      <w:tr w:rsidR="000612FE" w:rsidRPr="000612FE" w:rsidTr="000612FE">
        <w:trPr>
          <w:trHeight w:val="255"/>
        </w:trPr>
        <w:tc>
          <w:tcPr>
            <w:tcW w:w="6651" w:type="dxa"/>
            <w:shd w:val="clear" w:color="auto" w:fill="auto"/>
            <w:noWrap/>
            <w:vAlign w:val="bottom"/>
          </w:tcPr>
          <w:p w:rsidR="000612FE" w:rsidRPr="000612FE" w:rsidRDefault="000612FE" w:rsidP="000612FE">
            <w:pPr>
              <w:widowControl w:val="0"/>
              <w:ind w:left="720" w:hanging="720"/>
              <w:rPr>
                <w:b/>
                <w:sz w:val="22"/>
                <w:szCs w:val="22"/>
                <w:lang w:val="en"/>
              </w:rPr>
            </w:pPr>
          </w:p>
        </w:tc>
        <w:tc>
          <w:tcPr>
            <w:tcW w:w="1560" w:type="dxa"/>
            <w:shd w:val="clear" w:color="auto" w:fill="auto"/>
            <w:noWrap/>
          </w:tcPr>
          <w:p w:rsidR="000612FE" w:rsidRPr="000612FE" w:rsidRDefault="000612FE" w:rsidP="000612FE">
            <w:pPr>
              <w:widowControl w:val="0"/>
              <w:ind w:left="720" w:hanging="720"/>
              <w:rPr>
                <w:b/>
                <w:sz w:val="22"/>
                <w:szCs w:val="22"/>
              </w:rPr>
            </w:pPr>
            <w:r w:rsidRPr="000612FE">
              <w:rPr>
                <w:b/>
                <w:sz w:val="22"/>
                <w:szCs w:val="22"/>
              </w:rPr>
              <w:t>2016/17</w:t>
            </w:r>
          </w:p>
          <w:p w:rsidR="000612FE" w:rsidRPr="000612FE" w:rsidRDefault="000612FE" w:rsidP="000612FE">
            <w:pPr>
              <w:widowControl w:val="0"/>
              <w:ind w:left="720" w:hanging="720"/>
              <w:rPr>
                <w:sz w:val="22"/>
                <w:szCs w:val="22"/>
              </w:rPr>
            </w:pPr>
            <w:r w:rsidRPr="000612FE">
              <w:rPr>
                <w:b/>
                <w:sz w:val="22"/>
                <w:szCs w:val="22"/>
              </w:rPr>
              <w:t>£’000</w:t>
            </w:r>
          </w:p>
        </w:tc>
      </w:tr>
      <w:tr w:rsidR="000612FE" w:rsidRPr="000612FE" w:rsidTr="000612FE">
        <w:trPr>
          <w:trHeight w:val="255"/>
        </w:trPr>
        <w:tc>
          <w:tcPr>
            <w:tcW w:w="6651" w:type="dxa"/>
            <w:shd w:val="clear" w:color="auto" w:fill="auto"/>
            <w:noWrap/>
            <w:vAlign w:val="bottom"/>
          </w:tcPr>
          <w:p w:rsidR="000612FE" w:rsidRPr="000612FE" w:rsidRDefault="000612FE" w:rsidP="000612FE">
            <w:pPr>
              <w:widowControl w:val="0"/>
              <w:ind w:left="720" w:hanging="720"/>
              <w:rPr>
                <w:b/>
                <w:sz w:val="22"/>
                <w:szCs w:val="22"/>
                <w:lang w:val="en"/>
              </w:rPr>
            </w:pPr>
          </w:p>
        </w:tc>
        <w:tc>
          <w:tcPr>
            <w:tcW w:w="1560" w:type="dxa"/>
            <w:shd w:val="clear" w:color="auto" w:fill="auto"/>
            <w:noWrap/>
          </w:tcPr>
          <w:p w:rsidR="000612FE" w:rsidRPr="000612FE" w:rsidRDefault="000612FE" w:rsidP="000612FE">
            <w:pPr>
              <w:widowControl w:val="0"/>
              <w:ind w:left="720" w:hanging="720"/>
              <w:rPr>
                <w:b/>
                <w:sz w:val="22"/>
                <w:szCs w:val="22"/>
              </w:rPr>
            </w:pPr>
          </w:p>
        </w:tc>
      </w:tr>
      <w:tr w:rsidR="000612FE" w:rsidRPr="000612FE" w:rsidTr="000612FE">
        <w:trPr>
          <w:trHeight w:val="255"/>
        </w:trPr>
        <w:tc>
          <w:tcPr>
            <w:tcW w:w="6651"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Original (Surplus) / Deficit in the year:</w:t>
            </w:r>
          </w:p>
        </w:tc>
        <w:tc>
          <w:tcPr>
            <w:tcW w:w="1560" w:type="dxa"/>
            <w:shd w:val="clear" w:color="auto" w:fill="auto"/>
            <w:noWrap/>
          </w:tcPr>
          <w:p w:rsidR="000612FE" w:rsidRPr="000612FE" w:rsidRDefault="000612FE" w:rsidP="000612FE">
            <w:pPr>
              <w:widowControl w:val="0"/>
              <w:ind w:left="720" w:hanging="720"/>
              <w:rPr>
                <w:b/>
                <w:sz w:val="22"/>
                <w:szCs w:val="22"/>
              </w:rPr>
            </w:pPr>
            <w:r w:rsidRPr="000612FE">
              <w:rPr>
                <w:b/>
                <w:sz w:val="22"/>
                <w:szCs w:val="22"/>
              </w:rPr>
              <w:t>(3,681)</w:t>
            </w:r>
          </w:p>
        </w:tc>
      </w:tr>
      <w:tr w:rsidR="000612FE" w:rsidRPr="000612FE" w:rsidTr="000612FE">
        <w:trPr>
          <w:trHeight w:val="255"/>
        </w:trPr>
        <w:tc>
          <w:tcPr>
            <w:tcW w:w="6651" w:type="dxa"/>
            <w:shd w:val="clear" w:color="auto" w:fill="auto"/>
            <w:noWrap/>
            <w:vAlign w:val="bottom"/>
          </w:tcPr>
          <w:p w:rsidR="000612FE" w:rsidRPr="000612FE" w:rsidRDefault="000612FE" w:rsidP="000612FE">
            <w:pPr>
              <w:widowControl w:val="0"/>
              <w:ind w:left="720" w:hanging="720"/>
              <w:rPr>
                <w:sz w:val="22"/>
                <w:szCs w:val="22"/>
                <w:lang w:val="en"/>
              </w:rPr>
            </w:pPr>
          </w:p>
        </w:tc>
        <w:tc>
          <w:tcPr>
            <w:tcW w:w="1560" w:type="dxa"/>
            <w:shd w:val="clear" w:color="auto" w:fill="auto"/>
            <w:noWrap/>
          </w:tcPr>
          <w:p w:rsidR="000612FE" w:rsidRPr="000612FE" w:rsidRDefault="000612FE" w:rsidP="000612FE">
            <w:pPr>
              <w:widowControl w:val="0"/>
              <w:ind w:left="720" w:hanging="720"/>
              <w:rPr>
                <w:sz w:val="22"/>
                <w:szCs w:val="22"/>
              </w:rPr>
            </w:pPr>
          </w:p>
        </w:tc>
      </w:tr>
      <w:tr w:rsidR="000612FE" w:rsidRPr="000612FE" w:rsidTr="000612FE">
        <w:trPr>
          <w:trHeight w:val="255"/>
        </w:trPr>
        <w:tc>
          <w:tcPr>
            <w:tcW w:w="6651" w:type="dxa"/>
            <w:tcBorders>
              <w:bottom w:val="dotted" w:sz="4" w:space="0" w:color="auto"/>
            </w:tcBorders>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General Management</w:t>
            </w:r>
          </w:p>
        </w:tc>
        <w:tc>
          <w:tcPr>
            <w:tcW w:w="1560" w:type="dxa"/>
            <w:tcBorders>
              <w:bottom w:val="dotted" w:sz="4" w:space="0" w:color="auto"/>
            </w:tcBorders>
            <w:shd w:val="clear" w:color="auto" w:fill="auto"/>
            <w:noWrap/>
          </w:tcPr>
          <w:p w:rsidR="000612FE" w:rsidRPr="000612FE" w:rsidRDefault="000612FE" w:rsidP="000612FE">
            <w:pPr>
              <w:widowControl w:val="0"/>
              <w:ind w:left="720" w:hanging="720"/>
              <w:rPr>
                <w:sz w:val="22"/>
                <w:szCs w:val="22"/>
              </w:rPr>
            </w:pPr>
          </w:p>
        </w:tc>
      </w:tr>
      <w:tr w:rsidR="000612FE" w:rsidRPr="000612FE" w:rsidTr="000612FE">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BC4E78">
            <w:pPr>
              <w:widowControl w:val="0"/>
              <w:numPr>
                <w:ilvl w:val="0"/>
                <w:numId w:val="9"/>
              </w:numPr>
              <w:rPr>
                <w:sz w:val="22"/>
                <w:szCs w:val="22"/>
                <w:lang w:val="en"/>
              </w:rPr>
            </w:pPr>
            <w:r w:rsidRPr="000612FE">
              <w:rPr>
                <w:sz w:val="22"/>
                <w:szCs w:val="22"/>
                <w:lang w:val="en"/>
              </w:rPr>
              <w:t>Reduction in investment income (see para 2.8)</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sz w:val="22"/>
                <w:szCs w:val="22"/>
              </w:rPr>
            </w:pPr>
            <w:r w:rsidRPr="000612FE">
              <w:rPr>
                <w:sz w:val="22"/>
                <w:szCs w:val="22"/>
              </w:rPr>
              <w:t>89</w:t>
            </w:r>
          </w:p>
        </w:tc>
      </w:tr>
      <w:tr w:rsidR="000612FE" w:rsidRPr="000612FE" w:rsidTr="000612FE">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BC4E78">
            <w:pPr>
              <w:widowControl w:val="0"/>
              <w:numPr>
                <w:ilvl w:val="0"/>
                <w:numId w:val="9"/>
              </w:numPr>
              <w:rPr>
                <w:sz w:val="22"/>
                <w:szCs w:val="22"/>
                <w:lang w:val="en"/>
              </w:rPr>
            </w:pPr>
            <w:r w:rsidRPr="000612FE">
              <w:rPr>
                <w:sz w:val="22"/>
                <w:szCs w:val="22"/>
              </w:rPr>
              <w:t>Estates Improvements – P/U Delay to upgrading Parking arrangements in Pooley Green Close</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sz w:val="22"/>
                <w:szCs w:val="22"/>
              </w:rPr>
            </w:pPr>
            <w:r w:rsidRPr="000612FE">
              <w:rPr>
                <w:sz w:val="22"/>
                <w:szCs w:val="22"/>
              </w:rPr>
              <w:t>7</w:t>
            </w:r>
          </w:p>
        </w:tc>
      </w:tr>
      <w:tr w:rsidR="000612FE" w:rsidRPr="000612FE" w:rsidTr="000612FE">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0612FE">
            <w:pPr>
              <w:widowControl w:val="0"/>
              <w:ind w:left="720" w:hanging="720"/>
              <w:rPr>
                <w:sz w:val="22"/>
                <w:szCs w:val="22"/>
                <w:lang w:val="en"/>
              </w:rPr>
            </w:pP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b/>
                <w:sz w:val="22"/>
                <w:szCs w:val="22"/>
              </w:rPr>
            </w:pPr>
          </w:p>
        </w:tc>
      </w:tr>
      <w:tr w:rsidR="000612FE" w:rsidRPr="000612FE" w:rsidTr="000612FE">
        <w:trPr>
          <w:trHeight w:val="255"/>
        </w:trPr>
        <w:tc>
          <w:tcPr>
            <w:tcW w:w="6651"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Projected (surplus) / Deficit in the year:</w:t>
            </w:r>
          </w:p>
        </w:tc>
        <w:tc>
          <w:tcPr>
            <w:tcW w:w="1560"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b/>
                <w:sz w:val="22"/>
                <w:szCs w:val="22"/>
              </w:rPr>
            </w:pPr>
            <w:r w:rsidRPr="000612FE">
              <w:rPr>
                <w:b/>
                <w:sz w:val="22"/>
                <w:szCs w:val="22"/>
              </w:rPr>
              <w:t>(3,585)</w:t>
            </w:r>
          </w:p>
        </w:tc>
      </w:tr>
    </w:tbl>
    <w:p w:rsidR="000612FE" w:rsidRPr="000612FE" w:rsidRDefault="000612FE" w:rsidP="000612FE">
      <w:pPr>
        <w:widowControl w:val="0"/>
        <w:ind w:left="720" w:hanging="720"/>
        <w:rPr>
          <w:sz w:val="22"/>
          <w:szCs w:val="22"/>
        </w:rPr>
      </w:pPr>
    </w:p>
    <w:p w:rsidR="000612FE" w:rsidRPr="000E3391" w:rsidRDefault="000612FE" w:rsidP="000612FE">
      <w:pPr>
        <w:widowControl w:val="0"/>
        <w:ind w:left="720" w:hanging="720"/>
        <w:rPr>
          <w:sz w:val="16"/>
          <w:szCs w:val="16"/>
        </w:rPr>
      </w:pPr>
      <w:r w:rsidRPr="000612FE">
        <w:rPr>
          <w:sz w:val="22"/>
          <w:szCs w:val="22"/>
        </w:rPr>
        <w:tab/>
      </w:r>
      <w:r w:rsidRPr="000E3391">
        <w:rPr>
          <w:sz w:val="16"/>
          <w:szCs w:val="16"/>
        </w:rPr>
        <w:t>Note: P/U = 2015/16 Planned Underspend.  Budget carried forward to be spent in the current year</w:t>
      </w:r>
      <w:r w:rsidRPr="000E3391">
        <w:rPr>
          <w:sz w:val="16"/>
          <w:szCs w:val="16"/>
        </w:rPr>
        <w:tab/>
      </w:r>
    </w:p>
    <w:p w:rsidR="000612FE" w:rsidRPr="007E7326" w:rsidRDefault="000612FE" w:rsidP="000612FE">
      <w:pPr>
        <w:widowControl w:val="0"/>
        <w:ind w:left="720" w:hanging="720"/>
      </w:pPr>
    </w:p>
    <w:p w:rsidR="000612FE" w:rsidRPr="000612FE" w:rsidRDefault="000612FE" w:rsidP="000612FE">
      <w:pPr>
        <w:widowControl w:val="0"/>
        <w:ind w:left="720" w:hanging="720"/>
        <w:rPr>
          <w:sz w:val="22"/>
          <w:szCs w:val="22"/>
        </w:rPr>
      </w:pPr>
      <w:r w:rsidRPr="000612FE">
        <w:rPr>
          <w:sz w:val="22"/>
          <w:szCs w:val="22"/>
        </w:rPr>
        <w:t>3.2</w:t>
      </w:r>
      <w:r w:rsidRPr="000612FE">
        <w:rPr>
          <w:sz w:val="22"/>
          <w:szCs w:val="22"/>
        </w:rPr>
        <w:tab/>
        <w:t xml:space="preserve">Taking into account the better than expected increase in working balances during 2015/16 of £0.5m, and assuming the predictions for the projected outturn shown in table </w:t>
      </w:r>
      <w:r w:rsidR="00CD35C6">
        <w:rPr>
          <w:sz w:val="22"/>
          <w:szCs w:val="22"/>
        </w:rPr>
        <w:t>7</w:t>
      </w:r>
      <w:r w:rsidRPr="000612FE">
        <w:rPr>
          <w:sz w:val="22"/>
          <w:szCs w:val="22"/>
        </w:rPr>
        <w:t xml:space="preserve"> materialise at the year end, this will increase the HRA balance from the opening balance of £14.089m to £17,675m at 31 March 2017 </w:t>
      </w:r>
    </w:p>
    <w:p w:rsidR="000612FE" w:rsidRPr="007E7326" w:rsidRDefault="000612FE" w:rsidP="000612FE">
      <w:pPr>
        <w:widowControl w:val="0"/>
        <w:ind w:left="720" w:hanging="720"/>
      </w:pPr>
    </w:p>
    <w:p w:rsidR="000612FE" w:rsidRPr="000612FE" w:rsidRDefault="000612FE" w:rsidP="000612FE">
      <w:pPr>
        <w:widowControl w:val="0"/>
        <w:ind w:left="720" w:hanging="720"/>
        <w:rPr>
          <w:b/>
          <w:sz w:val="22"/>
          <w:szCs w:val="22"/>
          <w:u w:val="single"/>
        </w:rPr>
      </w:pPr>
      <w:r w:rsidRPr="000612FE">
        <w:rPr>
          <w:b/>
          <w:sz w:val="22"/>
          <w:szCs w:val="22"/>
        </w:rPr>
        <w:t>4</w:t>
      </w:r>
      <w:r w:rsidRPr="000612FE">
        <w:rPr>
          <w:b/>
          <w:sz w:val="22"/>
          <w:szCs w:val="22"/>
        </w:rPr>
        <w:tab/>
      </w:r>
      <w:r w:rsidRPr="00CD35C6">
        <w:rPr>
          <w:b/>
          <w:sz w:val="22"/>
          <w:szCs w:val="22"/>
        </w:rPr>
        <w:t>Capital Expenditure and Receipts</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Capital expenditure</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4.1</w:t>
      </w:r>
      <w:r w:rsidRPr="000612FE">
        <w:rPr>
          <w:sz w:val="22"/>
          <w:szCs w:val="22"/>
        </w:rPr>
        <w:tab/>
        <w:t>The detailed Capital budget for 2016/17 was approved in February 2016.  Since then various changes have occurred to the budgets and updated figures for the current year can be seen from the table below.</w:t>
      </w:r>
    </w:p>
    <w:p w:rsidR="000612FE" w:rsidRPr="000612FE" w:rsidRDefault="000612FE" w:rsidP="000612FE">
      <w:pPr>
        <w:widowControl w:val="0"/>
        <w:ind w:left="720" w:hanging="720"/>
        <w:rPr>
          <w:sz w:val="22"/>
          <w:szCs w:val="22"/>
        </w:rPr>
      </w:pPr>
    </w:p>
    <w:tbl>
      <w:tblPr>
        <w:tblW w:w="6947"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084"/>
        <w:gridCol w:w="1012"/>
      </w:tblGrid>
      <w:tr w:rsidR="000612FE" w:rsidRPr="000612FE" w:rsidTr="000612FE">
        <w:trPr>
          <w:trHeight w:val="255"/>
        </w:trPr>
        <w:tc>
          <w:tcPr>
            <w:tcW w:w="6947" w:type="dxa"/>
            <w:gridSpan w:val="2"/>
            <w:shd w:val="clear" w:color="auto" w:fill="BFBFBF" w:themeFill="background1" w:themeFillShade="BF"/>
            <w:noWrap/>
            <w:vAlign w:val="bottom"/>
          </w:tcPr>
          <w:p w:rsidR="000612FE" w:rsidRPr="000612FE" w:rsidRDefault="000612FE" w:rsidP="000E3391">
            <w:pPr>
              <w:widowControl w:val="0"/>
              <w:ind w:left="720" w:hanging="720"/>
              <w:jc w:val="center"/>
              <w:rPr>
                <w:b/>
                <w:sz w:val="22"/>
                <w:szCs w:val="22"/>
              </w:rPr>
            </w:pPr>
            <w:r w:rsidRPr="000612FE">
              <w:rPr>
                <w:b/>
                <w:sz w:val="22"/>
                <w:szCs w:val="22"/>
              </w:rPr>
              <w:t>Table 8 – Capital Expenditure</w:t>
            </w:r>
          </w:p>
        </w:tc>
      </w:tr>
      <w:tr w:rsidR="000612FE" w:rsidRPr="000612FE" w:rsidTr="000E3391">
        <w:trPr>
          <w:trHeight w:val="255"/>
        </w:trPr>
        <w:tc>
          <w:tcPr>
            <w:tcW w:w="6084"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0612FE">
            <w:pPr>
              <w:widowControl w:val="0"/>
              <w:ind w:left="720" w:hanging="720"/>
              <w:rPr>
                <w:b/>
                <w:sz w:val="22"/>
                <w:szCs w:val="22"/>
                <w:lang w:val="en"/>
              </w:rPr>
            </w:pPr>
          </w:p>
        </w:tc>
        <w:tc>
          <w:tcPr>
            <w:tcW w:w="863"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b/>
                <w:sz w:val="22"/>
                <w:szCs w:val="22"/>
              </w:rPr>
            </w:pPr>
            <w:r w:rsidRPr="000612FE">
              <w:rPr>
                <w:b/>
                <w:sz w:val="22"/>
                <w:szCs w:val="22"/>
              </w:rPr>
              <w:t>2016/17</w:t>
            </w:r>
          </w:p>
          <w:p w:rsidR="000612FE" w:rsidRPr="000612FE" w:rsidRDefault="000612FE" w:rsidP="000612FE">
            <w:pPr>
              <w:widowControl w:val="0"/>
              <w:ind w:left="720" w:hanging="720"/>
              <w:rPr>
                <w:b/>
                <w:sz w:val="22"/>
                <w:szCs w:val="22"/>
              </w:rPr>
            </w:pPr>
            <w:r w:rsidRPr="000612FE">
              <w:rPr>
                <w:b/>
                <w:sz w:val="22"/>
                <w:szCs w:val="22"/>
              </w:rPr>
              <w:t>£’000</w:t>
            </w:r>
          </w:p>
        </w:tc>
      </w:tr>
      <w:tr w:rsidR="000612FE" w:rsidRPr="000612FE" w:rsidTr="000E3391">
        <w:trPr>
          <w:trHeight w:val="255"/>
        </w:trPr>
        <w:tc>
          <w:tcPr>
            <w:tcW w:w="6084" w:type="dxa"/>
            <w:shd w:val="clear" w:color="auto" w:fill="auto"/>
            <w:noWrap/>
            <w:vAlign w:val="bottom"/>
          </w:tcPr>
          <w:p w:rsidR="000612FE" w:rsidRPr="000612FE" w:rsidRDefault="000612FE" w:rsidP="000612FE">
            <w:pPr>
              <w:widowControl w:val="0"/>
              <w:ind w:left="720" w:hanging="720"/>
              <w:rPr>
                <w:b/>
                <w:sz w:val="22"/>
                <w:szCs w:val="22"/>
                <w:lang w:val="en"/>
              </w:rPr>
            </w:pPr>
          </w:p>
        </w:tc>
        <w:tc>
          <w:tcPr>
            <w:tcW w:w="863" w:type="dxa"/>
            <w:shd w:val="clear" w:color="auto" w:fill="auto"/>
            <w:noWrap/>
          </w:tcPr>
          <w:p w:rsidR="000612FE" w:rsidRPr="000612FE" w:rsidRDefault="000612FE" w:rsidP="000612FE">
            <w:pPr>
              <w:widowControl w:val="0"/>
              <w:ind w:left="720" w:hanging="720"/>
              <w:rPr>
                <w:b/>
                <w:sz w:val="22"/>
                <w:szCs w:val="22"/>
              </w:rPr>
            </w:pPr>
          </w:p>
        </w:tc>
      </w:tr>
      <w:tr w:rsidR="000612FE" w:rsidRPr="000612FE" w:rsidTr="000E3391">
        <w:trPr>
          <w:trHeight w:val="255"/>
        </w:trPr>
        <w:tc>
          <w:tcPr>
            <w:tcW w:w="6084"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Original Capital expenditure budget:</w:t>
            </w:r>
          </w:p>
        </w:tc>
        <w:tc>
          <w:tcPr>
            <w:tcW w:w="863" w:type="dxa"/>
            <w:shd w:val="clear" w:color="auto" w:fill="auto"/>
            <w:noWrap/>
          </w:tcPr>
          <w:p w:rsidR="000612FE" w:rsidRPr="000612FE" w:rsidRDefault="000612FE" w:rsidP="000612FE">
            <w:pPr>
              <w:widowControl w:val="0"/>
              <w:ind w:left="720" w:hanging="720"/>
              <w:rPr>
                <w:b/>
                <w:sz w:val="22"/>
                <w:szCs w:val="22"/>
              </w:rPr>
            </w:pPr>
            <w:r w:rsidRPr="000612FE">
              <w:rPr>
                <w:b/>
                <w:sz w:val="22"/>
                <w:szCs w:val="22"/>
              </w:rPr>
              <w:t>54,407</w:t>
            </w:r>
          </w:p>
        </w:tc>
      </w:tr>
      <w:tr w:rsidR="000612FE" w:rsidRPr="000612FE" w:rsidTr="000E3391">
        <w:trPr>
          <w:trHeight w:val="255"/>
        </w:trPr>
        <w:tc>
          <w:tcPr>
            <w:tcW w:w="6084" w:type="dxa"/>
            <w:shd w:val="clear" w:color="auto" w:fill="auto"/>
            <w:noWrap/>
            <w:vAlign w:val="bottom"/>
          </w:tcPr>
          <w:p w:rsidR="000612FE" w:rsidRPr="000612FE" w:rsidRDefault="000612FE" w:rsidP="000E3391">
            <w:pPr>
              <w:widowControl w:val="0"/>
              <w:rPr>
                <w:sz w:val="22"/>
                <w:szCs w:val="22"/>
                <w:lang w:val="en"/>
              </w:rPr>
            </w:pPr>
            <w:r w:rsidRPr="000612FE">
              <w:rPr>
                <w:sz w:val="22"/>
                <w:szCs w:val="22"/>
                <w:lang w:val="en"/>
              </w:rPr>
              <w:t>Slippage in Capital schemes carried forward from 2015/16:</w:t>
            </w:r>
          </w:p>
        </w:tc>
        <w:tc>
          <w:tcPr>
            <w:tcW w:w="863" w:type="dxa"/>
            <w:shd w:val="clear" w:color="auto" w:fill="auto"/>
            <w:noWrap/>
          </w:tcPr>
          <w:p w:rsidR="000612FE" w:rsidRPr="000612FE" w:rsidRDefault="000612FE" w:rsidP="000612FE">
            <w:pPr>
              <w:widowControl w:val="0"/>
              <w:ind w:left="720" w:hanging="720"/>
              <w:rPr>
                <w:sz w:val="22"/>
                <w:szCs w:val="22"/>
              </w:rPr>
            </w:pPr>
            <w:r w:rsidRPr="000612FE">
              <w:rPr>
                <w:sz w:val="22"/>
                <w:szCs w:val="22"/>
              </w:rPr>
              <w:t>385</w:t>
            </w:r>
          </w:p>
        </w:tc>
      </w:tr>
      <w:tr w:rsidR="000612FE" w:rsidRPr="000612FE" w:rsidTr="000E3391">
        <w:trPr>
          <w:trHeight w:val="255"/>
        </w:trPr>
        <w:tc>
          <w:tcPr>
            <w:tcW w:w="6084" w:type="dxa"/>
            <w:shd w:val="clear" w:color="auto" w:fill="auto"/>
            <w:noWrap/>
            <w:vAlign w:val="bottom"/>
          </w:tcPr>
          <w:p w:rsidR="000612FE" w:rsidRPr="000612FE" w:rsidRDefault="000612FE" w:rsidP="000612FE">
            <w:pPr>
              <w:widowControl w:val="0"/>
              <w:ind w:left="720" w:hanging="720"/>
              <w:rPr>
                <w:sz w:val="22"/>
                <w:szCs w:val="22"/>
                <w:lang w:val="en"/>
              </w:rPr>
            </w:pPr>
            <w:r w:rsidRPr="000612FE">
              <w:rPr>
                <w:sz w:val="22"/>
                <w:szCs w:val="22"/>
                <w:lang w:val="en"/>
              </w:rPr>
              <w:t>Supplementary Estimates:</w:t>
            </w:r>
          </w:p>
        </w:tc>
        <w:tc>
          <w:tcPr>
            <w:tcW w:w="863" w:type="dxa"/>
            <w:shd w:val="clear" w:color="auto" w:fill="auto"/>
            <w:noWrap/>
          </w:tcPr>
          <w:p w:rsidR="000612FE" w:rsidRPr="000612FE" w:rsidRDefault="000612FE" w:rsidP="000612FE">
            <w:pPr>
              <w:widowControl w:val="0"/>
              <w:ind w:left="720" w:hanging="720"/>
              <w:rPr>
                <w:sz w:val="22"/>
                <w:szCs w:val="22"/>
              </w:rPr>
            </w:pPr>
          </w:p>
        </w:tc>
      </w:tr>
      <w:tr w:rsidR="000612FE" w:rsidRPr="000612FE" w:rsidTr="000E3391">
        <w:trPr>
          <w:trHeight w:val="255"/>
        </w:trPr>
        <w:tc>
          <w:tcPr>
            <w:tcW w:w="6084" w:type="dxa"/>
            <w:tcBorders>
              <w:top w:val="dotted" w:sz="4" w:space="0" w:color="auto"/>
              <w:left w:val="dotted" w:sz="4" w:space="0" w:color="auto"/>
              <w:bottom w:val="dotted" w:sz="4" w:space="0" w:color="auto"/>
              <w:right w:val="dotted" w:sz="4" w:space="0" w:color="auto"/>
            </w:tcBorders>
            <w:shd w:val="clear" w:color="auto" w:fill="auto"/>
            <w:noWrap/>
            <w:vAlign w:val="bottom"/>
          </w:tcPr>
          <w:p w:rsidR="000612FE" w:rsidRPr="000612FE" w:rsidRDefault="000612FE" w:rsidP="00BC4E78">
            <w:pPr>
              <w:widowControl w:val="0"/>
              <w:numPr>
                <w:ilvl w:val="0"/>
                <w:numId w:val="8"/>
              </w:numPr>
              <w:rPr>
                <w:sz w:val="22"/>
                <w:szCs w:val="22"/>
                <w:lang w:val="en"/>
              </w:rPr>
            </w:pPr>
            <w:r w:rsidRPr="000612FE">
              <w:rPr>
                <w:sz w:val="22"/>
                <w:szCs w:val="22"/>
                <w:lang w:val="en"/>
              </w:rPr>
              <w:t>Development Loan RBCS (CMC – May 2016)</w:t>
            </w:r>
          </w:p>
        </w:tc>
        <w:tc>
          <w:tcPr>
            <w:tcW w:w="863" w:type="dxa"/>
            <w:tcBorders>
              <w:top w:val="dotted" w:sz="4" w:space="0" w:color="auto"/>
              <w:left w:val="dotted" w:sz="4" w:space="0" w:color="auto"/>
              <w:bottom w:val="dotted" w:sz="4" w:space="0" w:color="auto"/>
              <w:right w:val="dotted" w:sz="4" w:space="0" w:color="auto"/>
            </w:tcBorders>
            <w:shd w:val="clear" w:color="auto" w:fill="auto"/>
            <w:noWrap/>
          </w:tcPr>
          <w:p w:rsidR="000612FE" w:rsidRPr="000612FE" w:rsidRDefault="000612FE" w:rsidP="000612FE">
            <w:pPr>
              <w:widowControl w:val="0"/>
              <w:ind w:left="720" w:hanging="720"/>
              <w:rPr>
                <w:sz w:val="22"/>
                <w:szCs w:val="22"/>
              </w:rPr>
            </w:pPr>
            <w:r w:rsidRPr="000612FE">
              <w:rPr>
                <w:sz w:val="22"/>
                <w:szCs w:val="22"/>
              </w:rPr>
              <w:t>1,400</w:t>
            </w:r>
          </w:p>
        </w:tc>
      </w:tr>
      <w:tr w:rsidR="000612FE" w:rsidRPr="000612FE" w:rsidTr="000E3391">
        <w:trPr>
          <w:trHeight w:val="255"/>
        </w:trPr>
        <w:tc>
          <w:tcPr>
            <w:tcW w:w="6084" w:type="dxa"/>
            <w:shd w:val="clear" w:color="auto" w:fill="auto"/>
            <w:noWrap/>
            <w:vAlign w:val="center"/>
          </w:tcPr>
          <w:p w:rsidR="000612FE" w:rsidRPr="000612FE" w:rsidRDefault="000612FE" w:rsidP="00BC4E78">
            <w:pPr>
              <w:widowControl w:val="0"/>
              <w:numPr>
                <w:ilvl w:val="0"/>
                <w:numId w:val="8"/>
              </w:numPr>
              <w:rPr>
                <w:sz w:val="22"/>
                <w:szCs w:val="22"/>
                <w:lang w:val="en"/>
              </w:rPr>
            </w:pPr>
            <w:proofErr w:type="spellStart"/>
            <w:r w:rsidRPr="000612FE">
              <w:rPr>
                <w:sz w:val="22"/>
                <w:szCs w:val="22"/>
                <w:lang w:val="en"/>
              </w:rPr>
              <w:t>Rusham</w:t>
            </w:r>
            <w:proofErr w:type="spellEnd"/>
            <w:r w:rsidRPr="000612FE">
              <w:rPr>
                <w:sz w:val="22"/>
                <w:szCs w:val="22"/>
                <w:lang w:val="en"/>
              </w:rPr>
              <w:t xml:space="preserve"> Road (CMC – June 2016)</w:t>
            </w:r>
          </w:p>
        </w:tc>
        <w:tc>
          <w:tcPr>
            <w:tcW w:w="863" w:type="dxa"/>
            <w:shd w:val="clear" w:color="auto" w:fill="auto"/>
            <w:noWrap/>
            <w:vAlign w:val="center"/>
          </w:tcPr>
          <w:p w:rsidR="000612FE" w:rsidRPr="000612FE" w:rsidRDefault="000612FE" w:rsidP="000612FE">
            <w:pPr>
              <w:widowControl w:val="0"/>
              <w:ind w:left="720" w:hanging="720"/>
              <w:rPr>
                <w:sz w:val="22"/>
                <w:szCs w:val="22"/>
              </w:rPr>
            </w:pPr>
            <w:r w:rsidRPr="000612FE">
              <w:rPr>
                <w:sz w:val="22"/>
                <w:szCs w:val="22"/>
              </w:rPr>
              <w:t>50</w:t>
            </w:r>
          </w:p>
        </w:tc>
      </w:tr>
      <w:tr w:rsidR="000612FE" w:rsidRPr="000612FE" w:rsidTr="000E3391">
        <w:trPr>
          <w:trHeight w:val="255"/>
        </w:trPr>
        <w:tc>
          <w:tcPr>
            <w:tcW w:w="6084" w:type="dxa"/>
            <w:shd w:val="clear" w:color="auto" w:fill="auto"/>
            <w:noWrap/>
            <w:vAlign w:val="center"/>
          </w:tcPr>
          <w:p w:rsidR="000612FE" w:rsidRPr="000612FE" w:rsidRDefault="000612FE" w:rsidP="00BC4E78">
            <w:pPr>
              <w:widowControl w:val="0"/>
              <w:numPr>
                <w:ilvl w:val="0"/>
                <w:numId w:val="8"/>
              </w:numPr>
              <w:rPr>
                <w:sz w:val="22"/>
                <w:szCs w:val="22"/>
                <w:lang w:val="en"/>
              </w:rPr>
            </w:pPr>
            <w:r w:rsidRPr="000612FE">
              <w:rPr>
                <w:sz w:val="22"/>
                <w:szCs w:val="22"/>
                <w:lang w:val="en"/>
              </w:rPr>
              <w:t>Marshall Place (CMC – June 2016)</w:t>
            </w:r>
          </w:p>
        </w:tc>
        <w:tc>
          <w:tcPr>
            <w:tcW w:w="863" w:type="dxa"/>
            <w:shd w:val="clear" w:color="auto" w:fill="auto"/>
            <w:noWrap/>
            <w:vAlign w:val="center"/>
          </w:tcPr>
          <w:p w:rsidR="000612FE" w:rsidRPr="000612FE" w:rsidRDefault="000612FE" w:rsidP="000612FE">
            <w:pPr>
              <w:widowControl w:val="0"/>
              <w:ind w:left="720" w:hanging="720"/>
              <w:rPr>
                <w:sz w:val="22"/>
                <w:szCs w:val="22"/>
              </w:rPr>
            </w:pPr>
            <w:r w:rsidRPr="000612FE">
              <w:rPr>
                <w:sz w:val="22"/>
                <w:szCs w:val="22"/>
              </w:rPr>
              <w:t>1,425</w:t>
            </w:r>
          </w:p>
        </w:tc>
      </w:tr>
      <w:tr w:rsidR="000612FE" w:rsidRPr="000612FE" w:rsidTr="000E3391">
        <w:trPr>
          <w:trHeight w:val="255"/>
        </w:trPr>
        <w:tc>
          <w:tcPr>
            <w:tcW w:w="6084" w:type="dxa"/>
            <w:shd w:val="clear" w:color="auto" w:fill="auto"/>
            <w:noWrap/>
            <w:vAlign w:val="bottom"/>
          </w:tcPr>
          <w:p w:rsidR="000612FE" w:rsidRPr="000612FE" w:rsidRDefault="000612FE" w:rsidP="000612FE">
            <w:pPr>
              <w:widowControl w:val="0"/>
              <w:ind w:left="720" w:hanging="720"/>
              <w:rPr>
                <w:sz w:val="22"/>
                <w:szCs w:val="22"/>
                <w:lang w:val="en"/>
              </w:rPr>
            </w:pPr>
          </w:p>
        </w:tc>
        <w:tc>
          <w:tcPr>
            <w:tcW w:w="863" w:type="dxa"/>
            <w:shd w:val="clear" w:color="auto" w:fill="auto"/>
            <w:noWrap/>
          </w:tcPr>
          <w:p w:rsidR="000612FE" w:rsidRPr="000612FE" w:rsidRDefault="000612FE" w:rsidP="000612FE">
            <w:pPr>
              <w:widowControl w:val="0"/>
              <w:ind w:left="720" w:hanging="720"/>
              <w:rPr>
                <w:sz w:val="22"/>
                <w:szCs w:val="22"/>
              </w:rPr>
            </w:pPr>
          </w:p>
        </w:tc>
      </w:tr>
      <w:tr w:rsidR="000612FE" w:rsidRPr="000612FE" w:rsidTr="000E3391">
        <w:trPr>
          <w:trHeight w:val="255"/>
        </w:trPr>
        <w:tc>
          <w:tcPr>
            <w:tcW w:w="6084" w:type="dxa"/>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 xml:space="preserve">Current Capital </w:t>
            </w:r>
            <w:proofErr w:type="spellStart"/>
            <w:r w:rsidRPr="000612FE">
              <w:rPr>
                <w:b/>
                <w:sz w:val="22"/>
                <w:szCs w:val="22"/>
                <w:lang w:val="en"/>
              </w:rPr>
              <w:t>Programme</w:t>
            </w:r>
            <w:proofErr w:type="spellEnd"/>
            <w:r w:rsidRPr="000612FE">
              <w:rPr>
                <w:b/>
                <w:sz w:val="22"/>
                <w:szCs w:val="22"/>
                <w:lang w:val="en"/>
              </w:rPr>
              <w:t xml:space="preserve"> budget</w:t>
            </w:r>
          </w:p>
        </w:tc>
        <w:tc>
          <w:tcPr>
            <w:tcW w:w="863" w:type="dxa"/>
            <w:shd w:val="clear" w:color="auto" w:fill="auto"/>
            <w:noWrap/>
          </w:tcPr>
          <w:p w:rsidR="000612FE" w:rsidRPr="000612FE" w:rsidRDefault="000612FE" w:rsidP="000612FE">
            <w:pPr>
              <w:widowControl w:val="0"/>
              <w:ind w:left="720" w:hanging="720"/>
              <w:rPr>
                <w:b/>
                <w:sz w:val="22"/>
                <w:szCs w:val="22"/>
              </w:rPr>
            </w:pPr>
            <w:r w:rsidRPr="000612FE">
              <w:rPr>
                <w:b/>
                <w:sz w:val="22"/>
                <w:szCs w:val="22"/>
              </w:rPr>
              <w:t>57,667</w:t>
            </w:r>
          </w:p>
        </w:tc>
      </w:tr>
    </w:tbl>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4.2</w:t>
      </w:r>
      <w:r w:rsidRPr="000612FE">
        <w:rPr>
          <w:sz w:val="22"/>
          <w:szCs w:val="22"/>
        </w:rPr>
        <w:tab/>
        <w:t>It is important to remember that the timing of capital expenditure can sometimes be difficult to predict and can be spread over s</w:t>
      </w:r>
      <w:r w:rsidR="007E7326">
        <w:rPr>
          <w:sz w:val="22"/>
          <w:szCs w:val="22"/>
        </w:rPr>
        <w:t>everal financial years.  Appendix ‘F’</w:t>
      </w:r>
      <w:r w:rsidRPr="000612FE">
        <w:rPr>
          <w:sz w:val="22"/>
          <w:szCs w:val="22"/>
        </w:rPr>
        <w:t xml:space="preserve"> summarises capital spend and receipts to the end of June 2016. For capital expenditure, the </w:t>
      </w:r>
      <w:r w:rsidR="007E7326">
        <w:rPr>
          <w:sz w:val="22"/>
          <w:szCs w:val="22"/>
        </w:rPr>
        <w:t xml:space="preserve">Appendix ‘F’ </w:t>
      </w:r>
      <w:r w:rsidRPr="000612FE">
        <w:rPr>
          <w:sz w:val="22"/>
          <w:szCs w:val="22"/>
        </w:rPr>
        <w:t>reports the original budget (as per the 2016/17 Budget Book), the current capital budget and a prediction for the year-end outturn.  Details on how this expenditure is to be financ</w:t>
      </w:r>
      <w:r w:rsidR="007E7326">
        <w:rPr>
          <w:sz w:val="22"/>
          <w:szCs w:val="22"/>
        </w:rPr>
        <w:t>ed is also included in Appendix ‘F’</w:t>
      </w:r>
      <w:r w:rsidRPr="000612FE">
        <w:rPr>
          <w:sz w:val="22"/>
          <w:szCs w:val="22"/>
        </w:rPr>
        <w:t>.</w:t>
      </w:r>
    </w:p>
    <w:p w:rsidR="000612FE" w:rsidRPr="007E7326" w:rsidRDefault="000612FE" w:rsidP="000612FE">
      <w:pPr>
        <w:widowControl w:val="0"/>
        <w:ind w:left="720" w:hanging="720"/>
      </w:pPr>
    </w:p>
    <w:p w:rsidR="000612FE" w:rsidRPr="000612FE" w:rsidRDefault="000612FE" w:rsidP="000612FE">
      <w:pPr>
        <w:widowControl w:val="0"/>
        <w:ind w:left="720" w:hanging="720"/>
        <w:rPr>
          <w:sz w:val="22"/>
          <w:szCs w:val="22"/>
          <w:u w:val="single"/>
        </w:rPr>
      </w:pPr>
      <w:r w:rsidRPr="000612FE">
        <w:rPr>
          <w:sz w:val="22"/>
          <w:szCs w:val="22"/>
        </w:rPr>
        <w:tab/>
      </w:r>
      <w:r w:rsidRPr="000612FE">
        <w:rPr>
          <w:sz w:val="22"/>
          <w:szCs w:val="22"/>
          <w:u w:val="single"/>
        </w:rPr>
        <w:t>Capital receipts</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4.3</w:t>
      </w:r>
      <w:r w:rsidRPr="000612FE">
        <w:rPr>
          <w:sz w:val="22"/>
          <w:szCs w:val="22"/>
        </w:rPr>
        <w:tab/>
        <w:t>The Council started the year with £3.942m in available capital receipts which can be used to fund future acquisition of assets. However, all of these receipts have been generated from the sale of dwellings under right-to-buy legislation or sales of land and legislation requires this is set aside for specific purposes.  In Runnymede’s case this is principally:</w:t>
      </w:r>
    </w:p>
    <w:p w:rsidR="000612FE" w:rsidRPr="000612FE" w:rsidRDefault="000612FE" w:rsidP="000612FE">
      <w:pPr>
        <w:widowControl w:val="0"/>
        <w:ind w:left="720" w:hanging="720"/>
        <w:rPr>
          <w:sz w:val="22"/>
          <w:szCs w:val="22"/>
        </w:rPr>
      </w:pPr>
    </w:p>
    <w:p w:rsidR="000612FE" w:rsidRPr="000612FE" w:rsidRDefault="000612FE" w:rsidP="000E3391">
      <w:pPr>
        <w:widowControl w:val="0"/>
        <w:ind w:left="720" w:firstLine="131"/>
        <w:rPr>
          <w:sz w:val="22"/>
          <w:szCs w:val="22"/>
        </w:rPr>
      </w:pPr>
      <w:r w:rsidRPr="000612FE">
        <w:rPr>
          <w:sz w:val="22"/>
          <w:szCs w:val="22"/>
        </w:rPr>
        <w:t>•</w:t>
      </w:r>
      <w:r w:rsidRPr="000612FE">
        <w:rPr>
          <w:sz w:val="22"/>
          <w:szCs w:val="22"/>
        </w:rPr>
        <w:tab/>
        <w:t>Future funding of new affordable housing</w:t>
      </w:r>
    </w:p>
    <w:p w:rsidR="000612FE" w:rsidRPr="000612FE" w:rsidRDefault="000612FE" w:rsidP="000E3391">
      <w:pPr>
        <w:widowControl w:val="0"/>
        <w:ind w:left="720" w:firstLine="131"/>
        <w:rPr>
          <w:sz w:val="22"/>
          <w:szCs w:val="22"/>
        </w:rPr>
      </w:pPr>
      <w:r w:rsidRPr="000612FE">
        <w:rPr>
          <w:sz w:val="22"/>
          <w:szCs w:val="22"/>
        </w:rPr>
        <w:t>•</w:t>
      </w:r>
      <w:r w:rsidRPr="000612FE">
        <w:rPr>
          <w:sz w:val="22"/>
          <w:szCs w:val="22"/>
        </w:rPr>
        <w:tab/>
        <w:t>Repayment of housing debt over the next 30 years</w:t>
      </w:r>
    </w:p>
    <w:p w:rsidR="000612FE" w:rsidRPr="007E7326" w:rsidRDefault="000612FE" w:rsidP="000612FE">
      <w:pPr>
        <w:widowControl w:val="0"/>
        <w:ind w:left="720" w:hanging="720"/>
      </w:pPr>
    </w:p>
    <w:p w:rsidR="000612FE" w:rsidRPr="000612FE" w:rsidRDefault="000612FE" w:rsidP="000612FE">
      <w:pPr>
        <w:widowControl w:val="0"/>
        <w:ind w:left="720" w:hanging="720"/>
        <w:rPr>
          <w:sz w:val="22"/>
          <w:szCs w:val="22"/>
        </w:rPr>
      </w:pPr>
      <w:r w:rsidRPr="000612FE">
        <w:rPr>
          <w:sz w:val="22"/>
          <w:szCs w:val="22"/>
        </w:rPr>
        <w:t>4.4</w:t>
      </w:r>
      <w:r w:rsidRPr="000612FE">
        <w:rPr>
          <w:sz w:val="22"/>
          <w:szCs w:val="22"/>
        </w:rPr>
        <w:tab/>
        <w:t xml:space="preserve">Capital receipts can be used to pay for capital expenditure and, until they are spent, they also generate investment income.  The Capital Strategy approved by the Council in February 2016 assumed capital receipts of £13.916m would be generated in 2016/17.  It is now anticipated that in the current year, receipts of £15,671m will be generated.  </w:t>
      </w:r>
    </w:p>
    <w:p w:rsidR="000612FE" w:rsidRPr="000612FE" w:rsidRDefault="000612FE" w:rsidP="000612FE">
      <w:pPr>
        <w:widowControl w:val="0"/>
        <w:ind w:left="720" w:hanging="720"/>
        <w:rPr>
          <w:sz w:val="22"/>
          <w:szCs w:val="22"/>
        </w:rPr>
      </w:pPr>
    </w:p>
    <w:p w:rsidR="000612FE" w:rsidRPr="000612FE" w:rsidRDefault="000612FE" w:rsidP="000612FE">
      <w:pPr>
        <w:widowControl w:val="0"/>
        <w:ind w:left="720" w:hanging="720"/>
        <w:rPr>
          <w:sz w:val="22"/>
          <w:szCs w:val="22"/>
        </w:rPr>
      </w:pPr>
      <w:r w:rsidRPr="000612FE">
        <w:rPr>
          <w:sz w:val="22"/>
          <w:szCs w:val="22"/>
        </w:rPr>
        <w:t>4.5</w:t>
      </w:r>
      <w:r w:rsidRPr="000612FE">
        <w:rPr>
          <w:sz w:val="22"/>
          <w:szCs w:val="22"/>
        </w:rPr>
        <w:tab/>
        <w:t xml:space="preserve">Table 8 sets out the anticipated capital receipts position as at the 31 March 2017 based on the current forecast outturn in capital spend and receipts as set out in </w:t>
      </w:r>
      <w:r w:rsidR="007E7326">
        <w:rPr>
          <w:sz w:val="22"/>
          <w:szCs w:val="22"/>
        </w:rPr>
        <w:t>Appendix ‘F’</w:t>
      </w:r>
      <w:r w:rsidRPr="000612FE">
        <w:rPr>
          <w:sz w:val="22"/>
          <w:szCs w:val="22"/>
        </w:rPr>
        <w:t>:</w:t>
      </w:r>
    </w:p>
    <w:p w:rsidR="000612FE" w:rsidRPr="00AB7848" w:rsidRDefault="000612FE" w:rsidP="000612FE">
      <w:pPr>
        <w:widowControl w:val="0"/>
        <w:ind w:left="720" w:hanging="720"/>
        <w:rPr>
          <w:sz w:val="18"/>
          <w:szCs w:val="18"/>
        </w:rPr>
      </w:pPr>
    </w:p>
    <w:tbl>
      <w:tblPr>
        <w:tblW w:w="949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110"/>
        <w:gridCol w:w="1418"/>
        <w:gridCol w:w="1701"/>
        <w:gridCol w:w="1134"/>
        <w:gridCol w:w="1134"/>
      </w:tblGrid>
      <w:tr w:rsidR="000612FE" w:rsidRPr="000612FE" w:rsidTr="00AC433F">
        <w:trPr>
          <w:trHeight w:val="255"/>
        </w:trPr>
        <w:tc>
          <w:tcPr>
            <w:tcW w:w="9497" w:type="dxa"/>
            <w:gridSpan w:val="5"/>
            <w:shd w:val="clear" w:color="auto" w:fill="BFBFBF" w:themeFill="background1" w:themeFillShade="BF"/>
            <w:noWrap/>
            <w:vAlign w:val="bottom"/>
          </w:tcPr>
          <w:p w:rsidR="000612FE" w:rsidRPr="000612FE" w:rsidRDefault="000612FE" w:rsidP="00BC4E78">
            <w:pPr>
              <w:widowControl w:val="0"/>
              <w:ind w:left="720" w:hanging="720"/>
              <w:jc w:val="center"/>
              <w:rPr>
                <w:b/>
                <w:sz w:val="22"/>
                <w:szCs w:val="22"/>
              </w:rPr>
            </w:pPr>
            <w:r w:rsidRPr="000612FE">
              <w:rPr>
                <w:b/>
                <w:sz w:val="22"/>
                <w:szCs w:val="22"/>
              </w:rPr>
              <w:t>Table 9 – Capital receipts</w:t>
            </w:r>
          </w:p>
        </w:tc>
      </w:tr>
      <w:tr w:rsidR="000E3391" w:rsidRPr="000612FE" w:rsidTr="00AC433F">
        <w:trPr>
          <w:trHeight w:val="255"/>
        </w:trPr>
        <w:tc>
          <w:tcPr>
            <w:tcW w:w="4110" w:type="dxa"/>
            <w:shd w:val="clear" w:color="auto" w:fill="auto"/>
            <w:noWrap/>
            <w:vAlign w:val="bottom"/>
          </w:tcPr>
          <w:p w:rsidR="000E3391" w:rsidRPr="000612FE" w:rsidRDefault="000E3391" w:rsidP="000612FE">
            <w:pPr>
              <w:widowControl w:val="0"/>
              <w:ind w:left="720" w:hanging="720"/>
              <w:rPr>
                <w:b/>
                <w:sz w:val="22"/>
                <w:szCs w:val="22"/>
                <w:lang w:val="en"/>
              </w:rPr>
            </w:pPr>
          </w:p>
        </w:tc>
        <w:tc>
          <w:tcPr>
            <w:tcW w:w="1418" w:type="dxa"/>
            <w:shd w:val="clear" w:color="auto" w:fill="auto"/>
            <w:noWrap/>
          </w:tcPr>
          <w:p w:rsidR="000E3391" w:rsidRPr="000E3391" w:rsidRDefault="000E3391" w:rsidP="000E3391">
            <w:pPr>
              <w:widowControl w:val="0"/>
              <w:ind w:left="720" w:hanging="720"/>
              <w:jc w:val="center"/>
              <w:rPr>
                <w:b/>
                <w:bCs/>
              </w:rPr>
            </w:pPr>
            <w:r w:rsidRPr="000E3391">
              <w:rPr>
                <w:b/>
                <w:bCs/>
              </w:rPr>
              <w:t>Debt</w:t>
            </w:r>
          </w:p>
          <w:p w:rsidR="000E3391" w:rsidRPr="000E3391" w:rsidRDefault="000E3391" w:rsidP="000E3391">
            <w:pPr>
              <w:widowControl w:val="0"/>
              <w:ind w:left="720" w:hanging="720"/>
              <w:jc w:val="center"/>
              <w:rPr>
                <w:b/>
                <w:bCs/>
              </w:rPr>
            </w:pPr>
            <w:r w:rsidRPr="000E3391">
              <w:rPr>
                <w:b/>
                <w:bCs/>
              </w:rPr>
              <w:t>Repayment</w:t>
            </w:r>
          </w:p>
          <w:p w:rsidR="000E3391" w:rsidRPr="000E3391" w:rsidRDefault="000E3391" w:rsidP="000E3391">
            <w:pPr>
              <w:widowControl w:val="0"/>
              <w:ind w:left="720" w:hanging="720"/>
              <w:jc w:val="center"/>
              <w:rPr>
                <w:b/>
                <w:bCs/>
              </w:rPr>
            </w:pPr>
            <w:r w:rsidRPr="000E3391">
              <w:rPr>
                <w:b/>
                <w:bCs/>
              </w:rPr>
              <w:t>£’000</w:t>
            </w:r>
          </w:p>
        </w:tc>
        <w:tc>
          <w:tcPr>
            <w:tcW w:w="1701" w:type="dxa"/>
          </w:tcPr>
          <w:p w:rsidR="000E3391" w:rsidRPr="000E3391" w:rsidRDefault="000E3391" w:rsidP="000E3391">
            <w:pPr>
              <w:widowControl w:val="0"/>
              <w:ind w:left="720" w:hanging="720"/>
              <w:jc w:val="center"/>
              <w:rPr>
                <w:b/>
                <w:bCs/>
              </w:rPr>
            </w:pPr>
            <w:r w:rsidRPr="000E3391">
              <w:rPr>
                <w:b/>
                <w:bCs/>
              </w:rPr>
              <w:t>Housing</w:t>
            </w:r>
          </w:p>
          <w:p w:rsidR="000E3391" w:rsidRPr="000E3391" w:rsidRDefault="000E3391" w:rsidP="000E3391">
            <w:pPr>
              <w:widowControl w:val="0"/>
              <w:ind w:left="720" w:hanging="720"/>
              <w:jc w:val="center"/>
              <w:rPr>
                <w:b/>
                <w:bCs/>
              </w:rPr>
            </w:pPr>
            <w:r w:rsidRPr="000E3391">
              <w:rPr>
                <w:b/>
                <w:bCs/>
              </w:rPr>
              <w:t>Replacement</w:t>
            </w:r>
          </w:p>
          <w:p w:rsidR="000E3391" w:rsidRPr="000E3391" w:rsidRDefault="000E3391" w:rsidP="000E3391">
            <w:pPr>
              <w:widowControl w:val="0"/>
              <w:ind w:left="720" w:hanging="720"/>
              <w:jc w:val="center"/>
              <w:rPr>
                <w:b/>
                <w:bCs/>
              </w:rPr>
            </w:pPr>
            <w:r w:rsidRPr="000E3391">
              <w:rPr>
                <w:b/>
                <w:bCs/>
              </w:rPr>
              <w:t>£’000</w:t>
            </w:r>
          </w:p>
        </w:tc>
        <w:tc>
          <w:tcPr>
            <w:tcW w:w="1134" w:type="dxa"/>
          </w:tcPr>
          <w:p w:rsidR="000E3391" w:rsidRDefault="00BC4E78" w:rsidP="00BC4E78">
            <w:pPr>
              <w:widowControl w:val="0"/>
              <w:jc w:val="center"/>
              <w:rPr>
                <w:b/>
                <w:bCs/>
              </w:rPr>
            </w:pPr>
            <w:r>
              <w:rPr>
                <w:b/>
                <w:bCs/>
              </w:rPr>
              <w:t>General</w:t>
            </w:r>
          </w:p>
          <w:p w:rsidR="00BC4E78" w:rsidRPr="000E3391" w:rsidRDefault="00BC4E78" w:rsidP="00BC4E78">
            <w:pPr>
              <w:widowControl w:val="0"/>
              <w:jc w:val="center"/>
              <w:rPr>
                <w:b/>
                <w:bCs/>
              </w:rPr>
            </w:pPr>
            <w:r>
              <w:rPr>
                <w:b/>
                <w:bCs/>
              </w:rPr>
              <w:t>Use</w:t>
            </w:r>
          </w:p>
          <w:p w:rsidR="000E3391" w:rsidRPr="000E3391" w:rsidRDefault="000E3391" w:rsidP="00BC4E78">
            <w:pPr>
              <w:widowControl w:val="0"/>
              <w:jc w:val="center"/>
              <w:rPr>
                <w:b/>
                <w:bCs/>
                <w:i/>
              </w:rPr>
            </w:pPr>
            <w:r w:rsidRPr="000E3391">
              <w:rPr>
                <w:b/>
                <w:bCs/>
              </w:rPr>
              <w:t>£’000</w:t>
            </w:r>
          </w:p>
        </w:tc>
        <w:tc>
          <w:tcPr>
            <w:tcW w:w="1134" w:type="dxa"/>
            <w:shd w:val="clear" w:color="auto" w:fill="auto"/>
            <w:noWrap/>
          </w:tcPr>
          <w:p w:rsidR="000E3391" w:rsidRPr="000E3391" w:rsidRDefault="000E3391" w:rsidP="000E3391">
            <w:pPr>
              <w:widowControl w:val="0"/>
              <w:ind w:left="720" w:hanging="720"/>
              <w:jc w:val="center"/>
              <w:rPr>
                <w:b/>
              </w:rPr>
            </w:pPr>
            <w:r w:rsidRPr="000E3391">
              <w:rPr>
                <w:b/>
              </w:rPr>
              <w:t>Total</w:t>
            </w:r>
          </w:p>
          <w:p w:rsidR="000E3391" w:rsidRPr="000E3391" w:rsidRDefault="000E3391" w:rsidP="000E3391">
            <w:pPr>
              <w:widowControl w:val="0"/>
              <w:ind w:left="720" w:hanging="720"/>
              <w:jc w:val="center"/>
              <w:rPr>
                <w:b/>
              </w:rPr>
            </w:pPr>
            <w:r w:rsidRPr="000E3391">
              <w:rPr>
                <w:b/>
              </w:rPr>
              <w:t>Receipts</w:t>
            </w:r>
          </w:p>
          <w:p w:rsidR="000E3391" w:rsidRPr="000E3391" w:rsidRDefault="000E3391" w:rsidP="000E3391">
            <w:pPr>
              <w:widowControl w:val="0"/>
              <w:ind w:left="720" w:hanging="720"/>
              <w:jc w:val="center"/>
              <w:rPr>
                <w:b/>
              </w:rPr>
            </w:pPr>
            <w:r w:rsidRPr="000E3391">
              <w:rPr>
                <w:b/>
              </w:rPr>
              <w:t>£’000</w:t>
            </w:r>
          </w:p>
        </w:tc>
      </w:tr>
      <w:tr w:rsidR="000612FE" w:rsidRPr="000612FE" w:rsidTr="00AC433F">
        <w:trPr>
          <w:trHeight w:val="255"/>
        </w:trPr>
        <w:tc>
          <w:tcPr>
            <w:tcW w:w="4110" w:type="dxa"/>
            <w:shd w:val="clear" w:color="auto" w:fill="auto"/>
            <w:noWrap/>
            <w:vAlign w:val="bottom"/>
          </w:tcPr>
          <w:p w:rsidR="000612FE" w:rsidRPr="000612FE" w:rsidRDefault="000612FE" w:rsidP="000612FE">
            <w:pPr>
              <w:widowControl w:val="0"/>
              <w:ind w:left="720" w:hanging="720"/>
              <w:rPr>
                <w:sz w:val="22"/>
                <w:szCs w:val="22"/>
                <w:lang w:val="en"/>
              </w:rPr>
            </w:pPr>
            <w:r w:rsidRPr="000612FE">
              <w:rPr>
                <w:sz w:val="22"/>
                <w:szCs w:val="22"/>
                <w:lang w:val="en"/>
              </w:rPr>
              <w:t>Total Capital Receipts at 1 April 2016</w:t>
            </w:r>
          </w:p>
        </w:tc>
        <w:tc>
          <w:tcPr>
            <w:tcW w:w="1418" w:type="dxa"/>
            <w:tcBorders>
              <w:bottom w:val="dotted" w:sz="4" w:space="0" w:color="auto"/>
            </w:tcBorders>
            <w:shd w:val="clear" w:color="auto" w:fill="auto"/>
            <w:noWrap/>
          </w:tcPr>
          <w:p w:rsidR="000612FE" w:rsidRPr="000612FE" w:rsidRDefault="000612FE" w:rsidP="000E3391">
            <w:pPr>
              <w:widowControl w:val="0"/>
              <w:ind w:left="720" w:hanging="720"/>
              <w:jc w:val="center"/>
              <w:rPr>
                <w:sz w:val="22"/>
                <w:szCs w:val="22"/>
              </w:rPr>
            </w:pPr>
            <w:r w:rsidRPr="000612FE">
              <w:rPr>
                <w:sz w:val="22"/>
                <w:szCs w:val="22"/>
              </w:rPr>
              <w:t>1,722</w:t>
            </w:r>
          </w:p>
        </w:tc>
        <w:tc>
          <w:tcPr>
            <w:tcW w:w="1701" w:type="dxa"/>
          </w:tcPr>
          <w:p w:rsidR="000612FE" w:rsidRPr="000612FE" w:rsidRDefault="000612FE" w:rsidP="000E3391">
            <w:pPr>
              <w:widowControl w:val="0"/>
              <w:ind w:left="720" w:hanging="720"/>
              <w:jc w:val="center"/>
              <w:rPr>
                <w:sz w:val="22"/>
                <w:szCs w:val="22"/>
              </w:rPr>
            </w:pPr>
            <w:r w:rsidRPr="000612FE">
              <w:rPr>
                <w:sz w:val="22"/>
                <w:szCs w:val="22"/>
              </w:rPr>
              <w:t>2,220</w:t>
            </w:r>
          </w:p>
        </w:tc>
        <w:tc>
          <w:tcPr>
            <w:tcW w:w="1134" w:type="dxa"/>
          </w:tcPr>
          <w:p w:rsidR="000612FE" w:rsidRPr="000612FE" w:rsidRDefault="000612FE" w:rsidP="000E3391">
            <w:pPr>
              <w:widowControl w:val="0"/>
              <w:ind w:left="720" w:hanging="720"/>
              <w:jc w:val="center"/>
              <w:rPr>
                <w:sz w:val="22"/>
                <w:szCs w:val="22"/>
              </w:rPr>
            </w:pPr>
            <w:r w:rsidRPr="000612FE">
              <w:rPr>
                <w:sz w:val="22"/>
                <w:szCs w:val="22"/>
              </w:rPr>
              <w:t>0</w:t>
            </w:r>
          </w:p>
        </w:tc>
        <w:tc>
          <w:tcPr>
            <w:tcW w:w="1134" w:type="dxa"/>
            <w:shd w:val="clear" w:color="auto" w:fill="auto"/>
            <w:noWrap/>
          </w:tcPr>
          <w:p w:rsidR="000612FE" w:rsidRPr="000612FE" w:rsidRDefault="000612FE" w:rsidP="000E3391">
            <w:pPr>
              <w:widowControl w:val="0"/>
              <w:ind w:left="720" w:hanging="720"/>
              <w:jc w:val="center"/>
              <w:rPr>
                <w:b/>
                <w:sz w:val="22"/>
                <w:szCs w:val="22"/>
              </w:rPr>
            </w:pPr>
            <w:r w:rsidRPr="000612FE">
              <w:rPr>
                <w:b/>
                <w:sz w:val="22"/>
                <w:szCs w:val="22"/>
              </w:rPr>
              <w:t>3,942</w:t>
            </w:r>
          </w:p>
        </w:tc>
      </w:tr>
      <w:tr w:rsidR="000612FE" w:rsidRPr="000612FE" w:rsidTr="00AC433F">
        <w:trPr>
          <w:trHeight w:val="255"/>
        </w:trPr>
        <w:tc>
          <w:tcPr>
            <w:tcW w:w="4110" w:type="dxa"/>
            <w:shd w:val="clear" w:color="auto" w:fill="auto"/>
            <w:noWrap/>
            <w:vAlign w:val="bottom"/>
          </w:tcPr>
          <w:p w:rsidR="000612FE" w:rsidRPr="000612FE" w:rsidRDefault="000612FE" w:rsidP="000612FE">
            <w:pPr>
              <w:widowControl w:val="0"/>
              <w:ind w:left="720" w:hanging="720"/>
              <w:rPr>
                <w:sz w:val="22"/>
                <w:szCs w:val="22"/>
                <w:lang w:val="en"/>
              </w:rPr>
            </w:pPr>
            <w:r w:rsidRPr="000612FE">
              <w:rPr>
                <w:sz w:val="22"/>
                <w:szCs w:val="22"/>
                <w:lang w:val="en"/>
              </w:rPr>
              <w:t>Capital Receipts generated in the Year</w:t>
            </w:r>
          </w:p>
        </w:tc>
        <w:tc>
          <w:tcPr>
            <w:tcW w:w="1418" w:type="dxa"/>
            <w:shd w:val="clear" w:color="auto" w:fill="auto"/>
            <w:noWrap/>
          </w:tcPr>
          <w:p w:rsidR="000612FE" w:rsidRPr="000612FE" w:rsidRDefault="000612FE" w:rsidP="000E3391">
            <w:pPr>
              <w:widowControl w:val="0"/>
              <w:ind w:left="720" w:hanging="720"/>
              <w:jc w:val="center"/>
              <w:rPr>
                <w:sz w:val="22"/>
                <w:szCs w:val="22"/>
              </w:rPr>
            </w:pPr>
            <w:r w:rsidRPr="000612FE">
              <w:rPr>
                <w:sz w:val="22"/>
                <w:szCs w:val="22"/>
              </w:rPr>
              <w:t>750</w:t>
            </w:r>
          </w:p>
        </w:tc>
        <w:tc>
          <w:tcPr>
            <w:tcW w:w="1701" w:type="dxa"/>
          </w:tcPr>
          <w:p w:rsidR="000612FE" w:rsidRPr="000612FE" w:rsidRDefault="000612FE" w:rsidP="000E3391">
            <w:pPr>
              <w:widowControl w:val="0"/>
              <w:ind w:left="720" w:hanging="720"/>
              <w:jc w:val="center"/>
              <w:rPr>
                <w:sz w:val="22"/>
                <w:szCs w:val="22"/>
              </w:rPr>
            </w:pPr>
            <w:r w:rsidRPr="000612FE">
              <w:rPr>
                <w:sz w:val="22"/>
                <w:szCs w:val="22"/>
              </w:rPr>
              <w:t>2,110</w:t>
            </w:r>
          </w:p>
        </w:tc>
        <w:tc>
          <w:tcPr>
            <w:tcW w:w="1134" w:type="dxa"/>
          </w:tcPr>
          <w:p w:rsidR="000612FE" w:rsidRPr="000612FE" w:rsidRDefault="000612FE" w:rsidP="000E3391">
            <w:pPr>
              <w:widowControl w:val="0"/>
              <w:ind w:left="720" w:hanging="720"/>
              <w:jc w:val="center"/>
              <w:rPr>
                <w:sz w:val="22"/>
                <w:szCs w:val="22"/>
              </w:rPr>
            </w:pPr>
            <w:r w:rsidRPr="000612FE">
              <w:rPr>
                <w:sz w:val="22"/>
                <w:szCs w:val="22"/>
              </w:rPr>
              <w:t>12,811</w:t>
            </w:r>
          </w:p>
        </w:tc>
        <w:tc>
          <w:tcPr>
            <w:tcW w:w="1134" w:type="dxa"/>
            <w:shd w:val="clear" w:color="auto" w:fill="auto"/>
            <w:noWrap/>
          </w:tcPr>
          <w:p w:rsidR="000612FE" w:rsidRPr="000612FE" w:rsidRDefault="000612FE" w:rsidP="000E3391">
            <w:pPr>
              <w:widowControl w:val="0"/>
              <w:ind w:left="720" w:hanging="720"/>
              <w:jc w:val="center"/>
              <w:rPr>
                <w:b/>
                <w:sz w:val="22"/>
                <w:szCs w:val="22"/>
              </w:rPr>
            </w:pPr>
            <w:r w:rsidRPr="000612FE">
              <w:rPr>
                <w:b/>
                <w:sz w:val="22"/>
                <w:szCs w:val="22"/>
              </w:rPr>
              <w:t>15,671</w:t>
            </w:r>
          </w:p>
        </w:tc>
      </w:tr>
      <w:tr w:rsidR="000612FE" w:rsidRPr="000612FE" w:rsidTr="00AC433F">
        <w:trPr>
          <w:trHeight w:val="255"/>
        </w:trPr>
        <w:tc>
          <w:tcPr>
            <w:tcW w:w="4110" w:type="dxa"/>
            <w:tcBorders>
              <w:bottom w:val="dotted" w:sz="4" w:space="0" w:color="auto"/>
            </w:tcBorders>
            <w:shd w:val="clear" w:color="auto" w:fill="auto"/>
            <w:noWrap/>
            <w:vAlign w:val="bottom"/>
          </w:tcPr>
          <w:p w:rsidR="000612FE" w:rsidRPr="000612FE" w:rsidRDefault="000612FE" w:rsidP="000612FE">
            <w:pPr>
              <w:widowControl w:val="0"/>
              <w:ind w:left="720" w:hanging="720"/>
              <w:rPr>
                <w:sz w:val="22"/>
                <w:szCs w:val="22"/>
                <w:lang w:val="en"/>
              </w:rPr>
            </w:pPr>
            <w:r w:rsidRPr="000612FE">
              <w:rPr>
                <w:sz w:val="22"/>
                <w:szCs w:val="22"/>
                <w:lang w:val="en"/>
              </w:rPr>
              <w:t>Use of Receipts in year</w:t>
            </w:r>
          </w:p>
        </w:tc>
        <w:tc>
          <w:tcPr>
            <w:tcW w:w="1418" w:type="dxa"/>
            <w:tcBorders>
              <w:bottom w:val="dotted" w:sz="4" w:space="0" w:color="auto"/>
            </w:tcBorders>
            <w:shd w:val="clear" w:color="auto" w:fill="auto"/>
            <w:noWrap/>
          </w:tcPr>
          <w:p w:rsidR="000612FE" w:rsidRPr="000612FE" w:rsidRDefault="000612FE" w:rsidP="000E3391">
            <w:pPr>
              <w:widowControl w:val="0"/>
              <w:ind w:left="720" w:hanging="720"/>
              <w:jc w:val="center"/>
              <w:rPr>
                <w:sz w:val="22"/>
                <w:szCs w:val="22"/>
              </w:rPr>
            </w:pPr>
            <w:r w:rsidRPr="000612FE">
              <w:rPr>
                <w:sz w:val="22"/>
                <w:szCs w:val="22"/>
              </w:rPr>
              <w:t>0</w:t>
            </w:r>
          </w:p>
        </w:tc>
        <w:tc>
          <w:tcPr>
            <w:tcW w:w="1701" w:type="dxa"/>
            <w:tcBorders>
              <w:bottom w:val="dotted" w:sz="4" w:space="0" w:color="auto"/>
            </w:tcBorders>
          </w:tcPr>
          <w:p w:rsidR="000612FE" w:rsidRPr="000612FE" w:rsidRDefault="000612FE" w:rsidP="000E3391">
            <w:pPr>
              <w:widowControl w:val="0"/>
              <w:ind w:left="720" w:hanging="720"/>
              <w:jc w:val="center"/>
              <w:rPr>
                <w:sz w:val="22"/>
                <w:szCs w:val="22"/>
              </w:rPr>
            </w:pPr>
            <w:r w:rsidRPr="000612FE">
              <w:rPr>
                <w:sz w:val="22"/>
                <w:szCs w:val="22"/>
              </w:rPr>
              <w:t>(540)</w:t>
            </w:r>
          </w:p>
        </w:tc>
        <w:tc>
          <w:tcPr>
            <w:tcW w:w="1134" w:type="dxa"/>
            <w:tcBorders>
              <w:bottom w:val="dotted" w:sz="4" w:space="0" w:color="auto"/>
            </w:tcBorders>
          </w:tcPr>
          <w:p w:rsidR="000612FE" w:rsidRPr="000612FE" w:rsidRDefault="000612FE" w:rsidP="000E3391">
            <w:pPr>
              <w:widowControl w:val="0"/>
              <w:ind w:left="720" w:hanging="720"/>
              <w:jc w:val="center"/>
              <w:rPr>
                <w:sz w:val="22"/>
                <w:szCs w:val="22"/>
              </w:rPr>
            </w:pPr>
            <w:r w:rsidRPr="000612FE">
              <w:rPr>
                <w:sz w:val="22"/>
                <w:szCs w:val="22"/>
              </w:rPr>
              <w:t>(12,811)</w:t>
            </w:r>
          </w:p>
        </w:tc>
        <w:tc>
          <w:tcPr>
            <w:tcW w:w="1134" w:type="dxa"/>
            <w:tcBorders>
              <w:bottom w:val="dotted" w:sz="4" w:space="0" w:color="auto"/>
            </w:tcBorders>
            <w:shd w:val="clear" w:color="auto" w:fill="auto"/>
            <w:noWrap/>
          </w:tcPr>
          <w:p w:rsidR="000612FE" w:rsidRPr="000612FE" w:rsidRDefault="000612FE" w:rsidP="000E3391">
            <w:pPr>
              <w:widowControl w:val="0"/>
              <w:ind w:left="720" w:hanging="720"/>
              <w:jc w:val="center"/>
              <w:rPr>
                <w:b/>
                <w:sz w:val="22"/>
                <w:szCs w:val="22"/>
              </w:rPr>
            </w:pPr>
            <w:r w:rsidRPr="000612FE">
              <w:rPr>
                <w:b/>
                <w:sz w:val="22"/>
                <w:szCs w:val="22"/>
              </w:rPr>
              <w:t>(13,351)</w:t>
            </w:r>
          </w:p>
        </w:tc>
      </w:tr>
      <w:tr w:rsidR="000612FE" w:rsidRPr="000612FE" w:rsidTr="00AC433F">
        <w:trPr>
          <w:trHeight w:val="255"/>
        </w:trPr>
        <w:tc>
          <w:tcPr>
            <w:tcW w:w="4110" w:type="dxa"/>
            <w:tcBorders>
              <w:bottom w:val="dotted" w:sz="4" w:space="0" w:color="auto"/>
            </w:tcBorders>
            <w:shd w:val="clear" w:color="auto" w:fill="auto"/>
            <w:noWrap/>
            <w:vAlign w:val="bottom"/>
          </w:tcPr>
          <w:p w:rsidR="000612FE" w:rsidRPr="000612FE" w:rsidRDefault="000612FE" w:rsidP="000612FE">
            <w:pPr>
              <w:widowControl w:val="0"/>
              <w:ind w:left="720" w:hanging="720"/>
              <w:rPr>
                <w:sz w:val="22"/>
                <w:szCs w:val="22"/>
                <w:lang w:val="en"/>
              </w:rPr>
            </w:pPr>
          </w:p>
        </w:tc>
        <w:tc>
          <w:tcPr>
            <w:tcW w:w="1418" w:type="dxa"/>
            <w:tcBorders>
              <w:bottom w:val="dotted" w:sz="4" w:space="0" w:color="auto"/>
            </w:tcBorders>
            <w:shd w:val="clear" w:color="auto" w:fill="auto"/>
            <w:noWrap/>
          </w:tcPr>
          <w:p w:rsidR="000612FE" w:rsidRPr="000612FE" w:rsidRDefault="000612FE" w:rsidP="000E3391">
            <w:pPr>
              <w:widowControl w:val="0"/>
              <w:ind w:left="720" w:hanging="720"/>
              <w:jc w:val="center"/>
              <w:rPr>
                <w:sz w:val="22"/>
                <w:szCs w:val="22"/>
              </w:rPr>
            </w:pPr>
          </w:p>
        </w:tc>
        <w:tc>
          <w:tcPr>
            <w:tcW w:w="1701" w:type="dxa"/>
            <w:tcBorders>
              <w:bottom w:val="single" w:sz="4" w:space="0" w:color="auto"/>
            </w:tcBorders>
          </w:tcPr>
          <w:p w:rsidR="000612FE" w:rsidRPr="000612FE" w:rsidRDefault="000612FE" w:rsidP="000E3391">
            <w:pPr>
              <w:widowControl w:val="0"/>
              <w:ind w:left="720" w:hanging="720"/>
              <w:jc w:val="center"/>
              <w:rPr>
                <w:sz w:val="22"/>
                <w:szCs w:val="22"/>
              </w:rPr>
            </w:pPr>
          </w:p>
        </w:tc>
        <w:tc>
          <w:tcPr>
            <w:tcW w:w="1134" w:type="dxa"/>
            <w:tcBorders>
              <w:bottom w:val="single" w:sz="4" w:space="0" w:color="auto"/>
            </w:tcBorders>
          </w:tcPr>
          <w:p w:rsidR="000612FE" w:rsidRPr="000612FE" w:rsidRDefault="000612FE" w:rsidP="000E3391">
            <w:pPr>
              <w:widowControl w:val="0"/>
              <w:ind w:left="720" w:hanging="720"/>
              <w:jc w:val="center"/>
              <w:rPr>
                <w:sz w:val="22"/>
                <w:szCs w:val="22"/>
              </w:rPr>
            </w:pPr>
          </w:p>
        </w:tc>
        <w:tc>
          <w:tcPr>
            <w:tcW w:w="1134" w:type="dxa"/>
            <w:tcBorders>
              <w:bottom w:val="single" w:sz="4" w:space="0" w:color="auto"/>
            </w:tcBorders>
            <w:shd w:val="clear" w:color="auto" w:fill="auto"/>
            <w:noWrap/>
          </w:tcPr>
          <w:p w:rsidR="000612FE" w:rsidRPr="000612FE" w:rsidRDefault="000612FE" w:rsidP="000E3391">
            <w:pPr>
              <w:widowControl w:val="0"/>
              <w:ind w:left="720" w:hanging="720"/>
              <w:jc w:val="center"/>
              <w:rPr>
                <w:b/>
                <w:sz w:val="22"/>
                <w:szCs w:val="22"/>
              </w:rPr>
            </w:pPr>
          </w:p>
        </w:tc>
      </w:tr>
      <w:tr w:rsidR="000612FE" w:rsidRPr="000612FE" w:rsidTr="00AC433F">
        <w:trPr>
          <w:trHeight w:val="255"/>
        </w:trPr>
        <w:tc>
          <w:tcPr>
            <w:tcW w:w="4110" w:type="dxa"/>
            <w:tcBorders>
              <w:top w:val="dotted" w:sz="4" w:space="0" w:color="auto"/>
            </w:tcBorders>
            <w:shd w:val="clear" w:color="auto" w:fill="auto"/>
            <w:noWrap/>
            <w:vAlign w:val="bottom"/>
          </w:tcPr>
          <w:p w:rsidR="000612FE" w:rsidRPr="000612FE" w:rsidRDefault="000612FE" w:rsidP="000612FE">
            <w:pPr>
              <w:widowControl w:val="0"/>
              <w:ind w:left="720" w:hanging="720"/>
              <w:rPr>
                <w:b/>
                <w:sz w:val="22"/>
                <w:szCs w:val="22"/>
                <w:lang w:val="en"/>
              </w:rPr>
            </w:pPr>
            <w:r w:rsidRPr="000612FE">
              <w:rPr>
                <w:b/>
                <w:sz w:val="22"/>
                <w:szCs w:val="22"/>
                <w:lang w:val="en"/>
              </w:rPr>
              <w:t>Projected Receipts at 31 March 2017</w:t>
            </w:r>
          </w:p>
        </w:tc>
        <w:tc>
          <w:tcPr>
            <w:tcW w:w="1418" w:type="dxa"/>
            <w:tcBorders>
              <w:top w:val="single" w:sz="4" w:space="0" w:color="auto"/>
              <w:bottom w:val="single" w:sz="4" w:space="0" w:color="auto"/>
              <w:right w:val="dotted" w:sz="4" w:space="0" w:color="auto"/>
            </w:tcBorders>
            <w:shd w:val="clear" w:color="auto" w:fill="auto"/>
            <w:noWrap/>
          </w:tcPr>
          <w:p w:rsidR="000612FE" w:rsidRPr="000612FE" w:rsidRDefault="000612FE" w:rsidP="000E3391">
            <w:pPr>
              <w:widowControl w:val="0"/>
              <w:ind w:left="720" w:hanging="720"/>
              <w:jc w:val="center"/>
              <w:rPr>
                <w:b/>
                <w:sz w:val="22"/>
                <w:szCs w:val="22"/>
              </w:rPr>
            </w:pPr>
            <w:r w:rsidRPr="000612FE">
              <w:rPr>
                <w:b/>
                <w:sz w:val="22"/>
                <w:szCs w:val="22"/>
              </w:rPr>
              <w:t>2,472</w:t>
            </w:r>
          </w:p>
        </w:tc>
        <w:tc>
          <w:tcPr>
            <w:tcW w:w="1701" w:type="dxa"/>
            <w:tcBorders>
              <w:top w:val="single" w:sz="4" w:space="0" w:color="auto"/>
              <w:left w:val="dotted" w:sz="4" w:space="0" w:color="auto"/>
              <w:bottom w:val="single" w:sz="4" w:space="0" w:color="auto"/>
              <w:right w:val="dotted" w:sz="4" w:space="0" w:color="auto"/>
            </w:tcBorders>
          </w:tcPr>
          <w:p w:rsidR="000612FE" w:rsidRPr="000612FE" w:rsidRDefault="000612FE" w:rsidP="000E3391">
            <w:pPr>
              <w:widowControl w:val="0"/>
              <w:ind w:left="720" w:hanging="720"/>
              <w:jc w:val="center"/>
              <w:rPr>
                <w:b/>
                <w:sz w:val="22"/>
                <w:szCs w:val="22"/>
              </w:rPr>
            </w:pPr>
            <w:r w:rsidRPr="000612FE">
              <w:rPr>
                <w:b/>
                <w:sz w:val="22"/>
                <w:szCs w:val="22"/>
              </w:rPr>
              <w:t>3,790</w:t>
            </w:r>
          </w:p>
        </w:tc>
        <w:tc>
          <w:tcPr>
            <w:tcW w:w="1134" w:type="dxa"/>
            <w:tcBorders>
              <w:top w:val="single" w:sz="4" w:space="0" w:color="auto"/>
              <w:left w:val="dotted" w:sz="4" w:space="0" w:color="auto"/>
              <w:bottom w:val="single" w:sz="4" w:space="0" w:color="auto"/>
              <w:right w:val="dotted" w:sz="4" w:space="0" w:color="auto"/>
            </w:tcBorders>
          </w:tcPr>
          <w:p w:rsidR="000612FE" w:rsidRPr="000612FE" w:rsidRDefault="000612FE" w:rsidP="000E3391">
            <w:pPr>
              <w:widowControl w:val="0"/>
              <w:ind w:left="720" w:hanging="720"/>
              <w:jc w:val="center"/>
              <w:rPr>
                <w:b/>
                <w:sz w:val="22"/>
                <w:szCs w:val="22"/>
              </w:rPr>
            </w:pPr>
            <w:r w:rsidRPr="000612FE">
              <w:rPr>
                <w:b/>
                <w:sz w:val="22"/>
                <w:szCs w:val="22"/>
              </w:rPr>
              <w:t>0</w:t>
            </w:r>
          </w:p>
        </w:tc>
        <w:tc>
          <w:tcPr>
            <w:tcW w:w="1134" w:type="dxa"/>
            <w:tcBorders>
              <w:top w:val="single" w:sz="4" w:space="0" w:color="auto"/>
              <w:left w:val="dotted" w:sz="4" w:space="0" w:color="auto"/>
              <w:bottom w:val="single" w:sz="4" w:space="0" w:color="auto"/>
              <w:right w:val="dotted" w:sz="4" w:space="0" w:color="auto"/>
            </w:tcBorders>
            <w:shd w:val="clear" w:color="auto" w:fill="auto"/>
            <w:noWrap/>
          </w:tcPr>
          <w:p w:rsidR="000612FE" w:rsidRPr="000612FE" w:rsidRDefault="000612FE" w:rsidP="000E3391">
            <w:pPr>
              <w:widowControl w:val="0"/>
              <w:ind w:left="720" w:hanging="720"/>
              <w:jc w:val="center"/>
              <w:rPr>
                <w:b/>
                <w:sz w:val="22"/>
                <w:szCs w:val="22"/>
              </w:rPr>
            </w:pPr>
            <w:r w:rsidRPr="000612FE">
              <w:rPr>
                <w:b/>
                <w:sz w:val="22"/>
                <w:szCs w:val="22"/>
              </w:rPr>
              <w:t>6,262</w:t>
            </w:r>
          </w:p>
        </w:tc>
      </w:tr>
    </w:tbl>
    <w:p w:rsidR="000612FE" w:rsidRDefault="000612FE" w:rsidP="007E7326">
      <w:pPr>
        <w:widowControl w:val="0"/>
        <w:rPr>
          <w:sz w:val="16"/>
          <w:szCs w:val="16"/>
        </w:rPr>
      </w:pPr>
    </w:p>
    <w:p w:rsidR="00AC433F" w:rsidRPr="00AB7848" w:rsidRDefault="00AC433F" w:rsidP="007E7326">
      <w:pPr>
        <w:widowControl w:val="0"/>
        <w:rPr>
          <w:sz w:val="16"/>
          <w:szCs w:val="16"/>
        </w:rPr>
      </w:pPr>
    </w:p>
    <w:p w:rsidR="000612FE" w:rsidRPr="00AC433F" w:rsidRDefault="000612FE" w:rsidP="000612FE">
      <w:pPr>
        <w:widowControl w:val="0"/>
        <w:ind w:left="720" w:hanging="720"/>
        <w:rPr>
          <w:b/>
          <w:sz w:val="22"/>
          <w:szCs w:val="22"/>
        </w:rPr>
      </w:pPr>
      <w:r w:rsidRPr="000612FE">
        <w:rPr>
          <w:b/>
          <w:sz w:val="22"/>
          <w:szCs w:val="22"/>
        </w:rPr>
        <w:t>5</w:t>
      </w:r>
      <w:r w:rsidRPr="000612FE">
        <w:rPr>
          <w:sz w:val="22"/>
          <w:szCs w:val="22"/>
        </w:rPr>
        <w:tab/>
      </w:r>
      <w:r w:rsidRPr="00AC433F">
        <w:rPr>
          <w:b/>
          <w:sz w:val="22"/>
          <w:szCs w:val="22"/>
        </w:rPr>
        <w:t>Legal Implications</w:t>
      </w:r>
    </w:p>
    <w:p w:rsidR="000612FE" w:rsidRPr="00AB7848" w:rsidRDefault="000612FE" w:rsidP="000612FE">
      <w:pPr>
        <w:widowControl w:val="0"/>
        <w:ind w:left="720" w:hanging="720"/>
        <w:rPr>
          <w:sz w:val="18"/>
          <w:szCs w:val="18"/>
        </w:rPr>
      </w:pPr>
    </w:p>
    <w:p w:rsidR="000612FE" w:rsidRPr="000612FE" w:rsidRDefault="000612FE" w:rsidP="000612FE">
      <w:pPr>
        <w:widowControl w:val="0"/>
        <w:ind w:left="720" w:hanging="720"/>
        <w:rPr>
          <w:sz w:val="22"/>
          <w:szCs w:val="22"/>
          <w:lang w:val="en"/>
        </w:rPr>
      </w:pPr>
      <w:r w:rsidRPr="000612FE">
        <w:rPr>
          <w:sz w:val="22"/>
          <w:szCs w:val="22"/>
        </w:rPr>
        <w:t>5.1</w:t>
      </w:r>
      <w:r w:rsidRPr="000612FE">
        <w:rPr>
          <w:sz w:val="22"/>
          <w:szCs w:val="22"/>
        </w:rPr>
        <w:tab/>
        <w:t>Section 28 of the Local Government Act 2003 requires authorities</w:t>
      </w:r>
      <w:r w:rsidRPr="000612FE">
        <w:rPr>
          <w:sz w:val="22"/>
          <w:szCs w:val="22"/>
          <w:lang w:val="en"/>
        </w:rPr>
        <w:t xml:space="preserve"> to monitor their income and expenditure against their budget, and be ready to take action if overspends or shortfalls in income emerge.  If monitoring establishes that the budgetary situation has deteriorated, authorities are required to take such action as they consider necessary. This might include, for instance, action to reduce spending in the rest of the year, or to increase income, or the authority might decide to take no action but to finance the shortfall from reserves.</w:t>
      </w:r>
    </w:p>
    <w:p w:rsidR="000612FE" w:rsidRPr="00AB7848" w:rsidRDefault="000612FE" w:rsidP="007E7326">
      <w:pPr>
        <w:widowControl w:val="0"/>
        <w:rPr>
          <w:sz w:val="16"/>
          <w:szCs w:val="16"/>
          <w:lang w:val="en"/>
        </w:rPr>
      </w:pPr>
    </w:p>
    <w:p w:rsidR="000612FE" w:rsidRPr="000612FE" w:rsidRDefault="000612FE" w:rsidP="000612FE">
      <w:pPr>
        <w:widowControl w:val="0"/>
        <w:ind w:left="720" w:hanging="720"/>
        <w:rPr>
          <w:b/>
          <w:sz w:val="22"/>
          <w:szCs w:val="22"/>
          <w:lang w:val="en"/>
        </w:rPr>
      </w:pPr>
      <w:r w:rsidRPr="000612FE">
        <w:rPr>
          <w:b/>
          <w:sz w:val="22"/>
          <w:szCs w:val="22"/>
          <w:lang w:val="en"/>
        </w:rPr>
        <w:t>6</w:t>
      </w:r>
      <w:r w:rsidRPr="000612FE">
        <w:rPr>
          <w:b/>
          <w:sz w:val="22"/>
          <w:szCs w:val="22"/>
          <w:lang w:val="en"/>
        </w:rPr>
        <w:tab/>
      </w:r>
      <w:r w:rsidRPr="00AC433F">
        <w:rPr>
          <w:b/>
          <w:sz w:val="22"/>
          <w:szCs w:val="22"/>
          <w:lang w:val="en"/>
        </w:rPr>
        <w:t>Conclusion</w:t>
      </w:r>
    </w:p>
    <w:p w:rsidR="000612FE" w:rsidRPr="00AB7848" w:rsidRDefault="000612FE" w:rsidP="000612FE">
      <w:pPr>
        <w:widowControl w:val="0"/>
        <w:ind w:left="720" w:hanging="720"/>
        <w:rPr>
          <w:b/>
          <w:sz w:val="18"/>
          <w:szCs w:val="18"/>
          <w:u w:val="single"/>
          <w:lang w:val="en"/>
        </w:rPr>
      </w:pPr>
    </w:p>
    <w:p w:rsidR="000612FE" w:rsidRPr="000612FE" w:rsidRDefault="000612FE" w:rsidP="000612FE">
      <w:pPr>
        <w:widowControl w:val="0"/>
        <w:ind w:left="720" w:hanging="720"/>
        <w:rPr>
          <w:sz w:val="22"/>
          <w:szCs w:val="22"/>
          <w:lang w:val="en"/>
        </w:rPr>
      </w:pPr>
      <w:r w:rsidRPr="000612FE">
        <w:rPr>
          <w:sz w:val="22"/>
          <w:szCs w:val="22"/>
          <w:lang w:val="en"/>
        </w:rPr>
        <w:t>6.1</w:t>
      </w:r>
      <w:r w:rsidRPr="000612FE">
        <w:rPr>
          <w:sz w:val="22"/>
          <w:szCs w:val="22"/>
          <w:lang w:val="en"/>
        </w:rPr>
        <w:tab/>
        <w:t xml:space="preserve">The projected use of balances shown in Table 1 of the report shows an increase use of £834,000 based on information at 30 June 2016.  A large proportion of this is due to savings </w:t>
      </w:r>
      <w:r w:rsidRPr="000612FE">
        <w:rPr>
          <w:sz w:val="22"/>
          <w:szCs w:val="22"/>
          <w:lang w:val="en"/>
        </w:rPr>
        <w:lastRenderedPageBreak/>
        <w:t>targets not yet being identified (£253,000) and suitable investment properties not being identified (£60,000 in total).  It should also be noted that this represents the forecast position of the Council three months into the year and there is still time for corrective action to be implemented.</w:t>
      </w:r>
    </w:p>
    <w:p w:rsidR="000612FE" w:rsidRPr="00AB7848" w:rsidRDefault="000612FE" w:rsidP="000612FE">
      <w:pPr>
        <w:widowControl w:val="0"/>
        <w:ind w:left="720" w:hanging="720"/>
        <w:rPr>
          <w:sz w:val="18"/>
          <w:szCs w:val="18"/>
          <w:lang w:val="en"/>
        </w:rPr>
      </w:pPr>
    </w:p>
    <w:p w:rsidR="000612FE" w:rsidRPr="000612FE" w:rsidRDefault="000612FE" w:rsidP="000612FE">
      <w:pPr>
        <w:widowControl w:val="0"/>
        <w:ind w:left="720" w:hanging="720"/>
        <w:rPr>
          <w:sz w:val="22"/>
          <w:szCs w:val="22"/>
          <w:lang w:val="en"/>
        </w:rPr>
      </w:pPr>
      <w:r w:rsidRPr="000612FE">
        <w:rPr>
          <w:sz w:val="22"/>
          <w:szCs w:val="22"/>
          <w:lang w:val="en"/>
        </w:rPr>
        <w:t>6.2</w:t>
      </w:r>
      <w:r w:rsidRPr="000612FE">
        <w:rPr>
          <w:sz w:val="22"/>
          <w:szCs w:val="22"/>
          <w:lang w:val="en"/>
        </w:rPr>
        <w:tab/>
      </w:r>
      <w:r w:rsidRPr="000612FE">
        <w:rPr>
          <w:sz w:val="22"/>
          <w:szCs w:val="22"/>
        </w:rPr>
        <w:t xml:space="preserve">Also included in this increase is lost investment income of £162,000.  </w:t>
      </w:r>
      <w:r w:rsidR="006622AF">
        <w:rPr>
          <w:sz w:val="22"/>
          <w:szCs w:val="22"/>
        </w:rPr>
        <w:t>A f</w:t>
      </w:r>
      <w:r w:rsidRPr="000612FE">
        <w:rPr>
          <w:sz w:val="22"/>
          <w:szCs w:val="22"/>
        </w:rPr>
        <w:t xml:space="preserve">ull report on all treasury activity during the first six months of the year, including any changes in the Council’s borrowing requirement, </w:t>
      </w:r>
      <w:r w:rsidR="00AC433F">
        <w:rPr>
          <w:sz w:val="22"/>
          <w:szCs w:val="22"/>
        </w:rPr>
        <w:t>will be reported to both this C</w:t>
      </w:r>
      <w:r w:rsidRPr="000612FE">
        <w:rPr>
          <w:sz w:val="22"/>
          <w:szCs w:val="22"/>
        </w:rPr>
        <w:t>ommittee and the Overview and Scrutiny Select Committee in the autumn.</w:t>
      </w:r>
    </w:p>
    <w:p w:rsidR="000612FE" w:rsidRPr="00AB7848" w:rsidRDefault="000612FE" w:rsidP="00EE166A">
      <w:pPr>
        <w:widowControl w:val="0"/>
        <w:ind w:left="720" w:hanging="720"/>
        <w:rPr>
          <w:sz w:val="16"/>
          <w:szCs w:val="16"/>
        </w:rPr>
      </w:pPr>
    </w:p>
    <w:p w:rsidR="007E7326" w:rsidRDefault="007E7326" w:rsidP="00EE166A">
      <w:pPr>
        <w:widowControl w:val="0"/>
        <w:ind w:left="720" w:hanging="720"/>
        <w:rPr>
          <w:sz w:val="22"/>
          <w:szCs w:val="22"/>
        </w:rPr>
      </w:pPr>
      <w:r>
        <w:rPr>
          <w:sz w:val="22"/>
          <w:szCs w:val="22"/>
        </w:rPr>
        <w:t>6.3</w:t>
      </w:r>
      <w:r>
        <w:rPr>
          <w:sz w:val="22"/>
          <w:szCs w:val="22"/>
        </w:rPr>
        <w:tab/>
        <w:t xml:space="preserve">The Corporate Leadership Team is addressing options to identify full year savings and/or income generation of £600,000 as directed by Members in February 2016.  Reports on this agenda identify further asset acquisitions which increase income to the </w:t>
      </w:r>
      <w:r w:rsidR="00AC433F">
        <w:rPr>
          <w:sz w:val="22"/>
          <w:szCs w:val="22"/>
        </w:rPr>
        <w:t>General Fund</w:t>
      </w:r>
      <w:r>
        <w:rPr>
          <w:sz w:val="22"/>
          <w:szCs w:val="22"/>
        </w:rPr>
        <w:t>.  As long term borrowing rates are currently below 2% this will improve the General Fund financial position.</w:t>
      </w:r>
    </w:p>
    <w:p w:rsidR="00AB7848" w:rsidRPr="00AB7848" w:rsidRDefault="00AB7848" w:rsidP="00EE166A">
      <w:pPr>
        <w:widowControl w:val="0"/>
        <w:ind w:left="720" w:hanging="720"/>
        <w:rPr>
          <w:sz w:val="18"/>
          <w:szCs w:val="18"/>
        </w:rPr>
      </w:pPr>
    </w:p>
    <w:p w:rsidR="00AB7848" w:rsidRPr="00AB7848" w:rsidRDefault="00AB7848" w:rsidP="00EE166A">
      <w:pPr>
        <w:widowControl w:val="0"/>
        <w:ind w:left="720" w:hanging="720"/>
        <w:rPr>
          <w:b/>
          <w:sz w:val="22"/>
          <w:szCs w:val="22"/>
        </w:rPr>
      </w:pPr>
      <w:r>
        <w:rPr>
          <w:sz w:val="22"/>
          <w:szCs w:val="22"/>
        </w:rPr>
        <w:tab/>
      </w:r>
      <w:r w:rsidRPr="00AB7848">
        <w:rPr>
          <w:b/>
          <w:sz w:val="22"/>
          <w:szCs w:val="22"/>
        </w:rPr>
        <w:t>Background Papers</w:t>
      </w:r>
    </w:p>
    <w:p w:rsidR="00AB7848" w:rsidRPr="00AB7848" w:rsidRDefault="00AB7848" w:rsidP="00EE166A">
      <w:pPr>
        <w:widowControl w:val="0"/>
        <w:ind w:left="720" w:hanging="720"/>
        <w:rPr>
          <w:b/>
          <w:sz w:val="18"/>
          <w:szCs w:val="18"/>
        </w:rPr>
      </w:pPr>
    </w:p>
    <w:p w:rsidR="00AB7848" w:rsidRPr="00AC433F" w:rsidRDefault="00AB7848" w:rsidP="00AB7848">
      <w:pPr>
        <w:widowControl w:val="0"/>
        <w:ind w:left="720" w:hanging="720"/>
        <w:rPr>
          <w:sz w:val="22"/>
          <w:szCs w:val="22"/>
        </w:rPr>
      </w:pPr>
      <w:r w:rsidRPr="00AB7848">
        <w:rPr>
          <w:b/>
          <w:sz w:val="22"/>
          <w:szCs w:val="22"/>
        </w:rPr>
        <w:tab/>
      </w:r>
      <w:r w:rsidRPr="00AC433F">
        <w:rPr>
          <w:sz w:val="22"/>
          <w:szCs w:val="22"/>
        </w:rPr>
        <w:t>None stated</w:t>
      </w:r>
    </w:p>
    <w:p w:rsidR="007E7326" w:rsidRPr="00AB7848" w:rsidRDefault="007E7326" w:rsidP="00EE166A">
      <w:pPr>
        <w:widowControl w:val="0"/>
        <w:ind w:left="720" w:hanging="720"/>
        <w:rPr>
          <w:sz w:val="18"/>
          <w:szCs w:val="18"/>
        </w:rPr>
      </w:pPr>
      <w:bookmarkStart w:id="0" w:name="_GoBack"/>
      <w:bookmarkEnd w:id="0"/>
    </w:p>
    <w:sectPr w:rsidR="007E7326" w:rsidRPr="00AB7848" w:rsidSect="00D3194A">
      <w:pgSz w:w="11909" w:h="16834" w:code="9"/>
      <w:pgMar w:top="720" w:right="1080" w:bottom="720" w:left="1152" w:header="706" w:footer="706"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4D" w:rsidRDefault="00821D4D">
      <w:r>
        <w:separator/>
      </w:r>
    </w:p>
  </w:endnote>
  <w:endnote w:type="continuationSeparator" w:id="0">
    <w:p w:rsidR="00821D4D" w:rsidRDefault="0082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4D" w:rsidRDefault="00821D4D">
      <w:r>
        <w:separator/>
      </w:r>
    </w:p>
  </w:footnote>
  <w:footnote w:type="continuationSeparator" w:id="0">
    <w:p w:rsidR="00821D4D" w:rsidRDefault="0082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A9"/>
    <w:multiLevelType w:val="multilevel"/>
    <w:tmpl w:val="1B9A332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C5127E"/>
    <w:multiLevelType w:val="multilevel"/>
    <w:tmpl w:val="1B9A332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D0D67AA"/>
    <w:multiLevelType w:val="multilevel"/>
    <w:tmpl w:val="4C5843F6"/>
    <w:lvl w:ilvl="0">
      <w:start w:val="1"/>
      <w:numFmt w:val="decimal"/>
      <w:pStyle w:val="Mainnumber"/>
      <w:lvlText w:val="%1."/>
      <w:lvlJc w:val="left"/>
      <w:pPr>
        <w:tabs>
          <w:tab w:val="num" w:pos="737"/>
        </w:tabs>
        <w:ind w:left="737" w:hanging="737"/>
      </w:pPr>
      <w:rPr>
        <w:rFonts w:ascii="Arial" w:hAnsi="Arial" w:hint="default"/>
        <w:b/>
        <w:i w:val="0"/>
        <w:strike w:val="0"/>
        <w:dstrike w:val="0"/>
        <w:vanish w:val="0"/>
        <w:color w:val="000000"/>
        <w:sz w:val="24"/>
        <w:vertAlign w:val="baseline"/>
      </w:rPr>
    </w:lvl>
    <w:lvl w:ilvl="1">
      <w:start w:val="1"/>
      <w:numFmt w:val="decimal"/>
      <w:pStyle w:val="Subnumber"/>
      <w:lvlText w:val="%1.%2"/>
      <w:lvlJc w:val="left"/>
      <w:pPr>
        <w:tabs>
          <w:tab w:val="num" w:pos="737"/>
        </w:tabs>
        <w:ind w:left="737" w:hanging="737"/>
      </w:pPr>
      <w:rPr>
        <w:rFonts w:ascii="Arial" w:hAnsi="Arial" w:hint="default"/>
        <w:b w:val="0"/>
        <w:i w:val="0"/>
        <w:caps w:val="0"/>
        <w:strike w:val="0"/>
        <w:dstrike w:val="0"/>
        <w:vanish w:val="0"/>
        <w:color w:val="auto"/>
        <w:sz w:val="24"/>
        <w:vertAlign w:val="baseline"/>
      </w:rPr>
    </w:lvl>
    <w:lvl w:ilvl="2">
      <w:start w:val="1"/>
      <w:numFmt w:val="lowerLetter"/>
      <w:lvlText w:val="(%3)"/>
      <w:lvlJc w:val="left"/>
      <w:pPr>
        <w:tabs>
          <w:tab w:val="num" w:pos="1304"/>
        </w:tabs>
        <w:ind w:left="1304" w:hanging="567"/>
      </w:pPr>
      <w:rPr>
        <w:rFonts w:ascii="Arial" w:hAnsi="Arial" w:hint="default"/>
        <w:b w:val="0"/>
        <w:i w:val="0"/>
        <w:caps w:val="0"/>
        <w:strike w:val="0"/>
        <w:dstrike w:val="0"/>
        <w:vanish w:val="0"/>
        <w:color w:val="000000"/>
        <w:sz w:val="24"/>
        <w:vertAlign w:val="baseline"/>
      </w:rPr>
    </w:lvl>
    <w:lvl w:ilvl="3">
      <w:start w:val="1"/>
      <w:numFmt w:val="lowerRoman"/>
      <w:lvlText w:val="%4)"/>
      <w:lvlJc w:val="left"/>
      <w:pPr>
        <w:tabs>
          <w:tab w:val="num" w:pos="2024"/>
        </w:tabs>
        <w:ind w:left="1871" w:hanging="567"/>
      </w:pPr>
      <w:rPr>
        <w:rFonts w:ascii="Arial" w:hAnsi="Arial" w:hint="default"/>
        <w:b w:val="0"/>
        <w:i w:val="0"/>
        <w:caps w:val="0"/>
        <w:strike w:val="0"/>
        <w:dstrike w:val="0"/>
        <w:vanish w:val="0"/>
        <w:sz w:val="24"/>
        <w:vertAlign w:val="base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A95C38"/>
    <w:multiLevelType w:val="hybridMultilevel"/>
    <w:tmpl w:val="44584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18D62F8"/>
    <w:multiLevelType w:val="multilevel"/>
    <w:tmpl w:val="D540758E"/>
    <w:lvl w:ilvl="0">
      <w:start w:val="1"/>
      <w:numFmt w:val="none"/>
      <w:pStyle w:val="Subtitl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7601CD"/>
    <w:multiLevelType w:val="multilevel"/>
    <w:tmpl w:val="1B9A332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5E38A3"/>
    <w:multiLevelType w:val="multilevel"/>
    <w:tmpl w:val="E4702456"/>
    <w:lvl w:ilvl="0">
      <w:start w:val="1"/>
      <w:numFmt w:val="decimal"/>
      <w:lvlText w:val="%1"/>
      <w:lvlJc w:val="left"/>
      <w:pPr>
        <w:ind w:left="360" w:hanging="360"/>
      </w:pPr>
      <w:rPr>
        <w:rFonts w:ascii="Helv" w:hAnsi="Helv" w:hint="default"/>
        <w:color w:val="000000"/>
      </w:rPr>
    </w:lvl>
    <w:lvl w:ilvl="1">
      <w:start w:val="1"/>
      <w:numFmt w:val="decimal"/>
      <w:lvlText w:val="%1.%2"/>
      <w:lvlJc w:val="left"/>
      <w:pPr>
        <w:ind w:left="1080" w:hanging="360"/>
      </w:pPr>
      <w:rPr>
        <w:rFonts w:ascii="Helv" w:hAnsi="Helv" w:hint="default"/>
        <w:color w:val="000000"/>
      </w:rPr>
    </w:lvl>
    <w:lvl w:ilvl="2">
      <w:start w:val="1"/>
      <w:numFmt w:val="decimal"/>
      <w:lvlText w:val="%1.%2.%3"/>
      <w:lvlJc w:val="left"/>
      <w:pPr>
        <w:ind w:left="2160" w:hanging="720"/>
      </w:pPr>
      <w:rPr>
        <w:rFonts w:ascii="Helv" w:hAnsi="Helv" w:hint="default"/>
        <w:color w:val="000000"/>
      </w:rPr>
    </w:lvl>
    <w:lvl w:ilvl="3">
      <w:start w:val="1"/>
      <w:numFmt w:val="decimal"/>
      <w:lvlText w:val="%1.%2.%3.%4"/>
      <w:lvlJc w:val="left"/>
      <w:pPr>
        <w:ind w:left="2880" w:hanging="720"/>
      </w:pPr>
      <w:rPr>
        <w:rFonts w:ascii="Helv" w:hAnsi="Helv" w:hint="default"/>
        <w:color w:val="000000"/>
      </w:rPr>
    </w:lvl>
    <w:lvl w:ilvl="4">
      <w:start w:val="1"/>
      <w:numFmt w:val="decimal"/>
      <w:lvlText w:val="%1.%2.%3.%4.%5"/>
      <w:lvlJc w:val="left"/>
      <w:pPr>
        <w:ind w:left="3960" w:hanging="1080"/>
      </w:pPr>
      <w:rPr>
        <w:rFonts w:ascii="Helv" w:hAnsi="Helv" w:hint="default"/>
        <w:color w:val="000000"/>
      </w:rPr>
    </w:lvl>
    <w:lvl w:ilvl="5">
      <w:start w:val="1"/>
      <w:numFmt w:val="decimal"/>
      <w:lvlText w:val="%1.%2.%3.%4.%5.%6"/>
      <w:lvlJc w:val="left"/>
      <w:pPr>
        <w:ind w:left="4680" w:hanging="1080"/>
      </w:pPr>
      <w:rPr>
        <w:rFonts w:ascii="Helv" w:hAnsi="Helv" w:hint="default"/>
        <w:color w:val="000000"/>
      </w:rPr>
    </w:lvl>
    <w:lvl w:ilvl="6">
      <w:start w:val="1"/>
      <w:numFmt w:val="decimal"/>
      <w:lvlText w:val="%1.%2.%3.%4.%5.%6.%7"/>
      <w:lvlJc w:val="left"/>
      <w:pPr>
        <w:ind w:left="5760" w:hanging="1440"/>
      </w:pPr>
      <w:rPr>
        <w:rFonts w:ascii="Helv" w:hAnsi="Helv" w:hint="default"/>
        <w:color w:val="000000"/>
      </w:rPr>
    </w:lvl>
    <w:lvl w:ilvl="7">
      <w:start w:val="1"/>
      <w:numFmt w:val="decimal"/>
      <w:lvlText w:val="%1.%2.%3.%4.%5.%6.%7.%8"/>
      <w:lvlJc w:val="left"/>
      <w:pPr>
        <w:ind w:left="6480" w:hanging="1440"/>
      </w:pPr>
      <w:rPr>
        <w:rFonts w:ascii="Helv" w:hAnsi="Helv" w:hint="default"/>
        <w:color w:val="000000"/>
      </w:rPr>
    </w:lvl>
    <w:lvl w:ilvl="8">
      <w:start w:val="1"/>
      <w:numFmt w:val="decimal"/>
      <w:lvlText w:val="%1.%2.%3.%4.%5.%6.%7.%8.%9"/>
      <w:lvlJc w:val="left"/>
      <w:pPr>
        <w:ind w:left="7560" w:hanging="1800"/>
      </w:pPr>
      <w:rPr>
        <w:rFonts w:ascii="Helv" w:hAnsi="Helv" w:hint="default"/>
        <w:color w:val="000000"/>
      </w:rPr>
    </w:lvl>
  </w:abstractNum>
  <w:abstractNum w:abstractNumId="7">
    <w:nsid w:val="25DE5EA2"/>
    <w:multiLevelType w:val="hybridMultilevel"/>
    <w:tmpl w:val="A0E63B7A"/>
    <w:lvl w:ilvl="0" w:tplc="0F06BEA0">
      <w:start w:val="3"/>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7D13793"/>
    <w:multiLevelType w:val="hybridMultilevel"/>
    <w:tmpl w:val="5E4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1044E"/>
    <w:multiLevelType w:val="multilevel"/>
    <w:tmpl w:val="10E44B90"/>
    <w:lvl w:ilvl="0">
      <w:start w:val="1"/>
      <w:numFmt w:val="decimal"/>
      <w:lvlText w:val="%1."/>
      <w:lvlJc w:val="left"/>
      <w:pPr>
        <w:ind w:left="1455" w:hanging="735"/>
      </w:pPr>
      <w:rPr>
        <w:rFonts w:hint="default"/>
        <w:b w:val="0"/>
      </w:rPr>
    </w:lvl>
    <w:lvl w:ilvl="1">
      <w:start w:val="6"/>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A123AA8"/>
    <w:multiLevelType w:val="multilevel"/>
    <w:tmpl w:val="1D0811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EFE017D"/>
    <w:multiLevelType w:val="hybridMultilevel"/>
    <w:tmpl w:val="3BB01DF6"/>
    <w:lvl w:ilvl="0" w:tplc="DD083722">
      <w:start w:val="1"/>
      <w:numFmt w:val="lowerLetter"/>
      <w:lvlText w:val="%1)"/>
      <w:lvlJc w:val="left"/>
      <w:pPr>
        <w:ind w:left="2070" w:hanging="360"/>
      </w:pPr>
      <w:rPr>
        <w:rFonts w:ascii="Arial" w:eastAsiaTheme="minorHAnsi" w:hAnsi="Arial" w:cs="Arial"/>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30FD07CA"/>
    <w:multiLevelType w:val="hybridMultilevel"/>
    <w:tmpl w:val="315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3712D4"/>
    <w:multiLevelType w:val="multilevel"/>
    <w:tmpl w:val="E3AE4A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6">
    <w:nsid w:val="3DFB7C3E"/>
    <w:multiLevelType w:val="hybridMultilevel"/>
    <w:tmpl w:val="B038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4AFD0E66"/>
    <w:multiLevelType w:val="multilevel"/>
    <w:tmpl w:val="FECA32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421221"/>
    <w:multiLevelType w:val="multilevel"/>
    <w:tmpl w:val="67B2A49E"/>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1B1658"/>
    <w:multiLevelType w:val="hybridMultilevel"/>
    <w:tmpl w:val="982AF1EC"/>
    <w:lvl w:ilvl="0" w:tplc="E35A83DA">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3A0C72"/>
    <w:multiLevelType w:val="hybridMultilevel"/>
    <w:tmpl w:val="A0E8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7E7576"/>
    <w:multiLevelType w:val="multilevel"/>
    <w:tmpl w:val="199CF19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1170C"/>
    <w:multiLevelType w:val="multilevel"/>
    <w:tmpl w:val="FECA32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14A1FEF"/>
    <w:multiLevelType w:val="multilevel"/>
    <w:tmpl w:val="811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6D1939"/>
    <w:multiLevelType w:val="hybridMultilevel"/>
    <w:tmpl w:val="A47A81A4"/>
    <w:lvl w:ilvl="0" w:tplc="08090001">
      <w:start w:val="1"/>
      <w:numFmt w:val="bullet"/>
      <w:lvlText w:val=""/>
      <w:lvlJc w:val="left"/>
      <w:pPr>
        <w:ind w:left="2175" w:hanging="360"/>
      </w:pPr>
      <w:rPr>
        <w:rFonts w:ascii="Symbol" w:hAnsi="Symbo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26">
    <w:nsid w:val="69011857"/>
    <w:multiLevelType w:val="hybridMultilevel"/>
    <w:tmpl w:val="DDACC03A"/>
    <w:lvl w:ilvl="0" w:tplc="08090001">
      <w:start w:val="1"/>
      <w:numFmt w:val="bullet"/>
      <w:lvlText w:val=""/>
      <w:lvlJc w:val="left"/>
      <w:pPr>
        <w:ind w:left="720" w:hanging="360"/>
      </w:pPr>
      <w:rPr>
        <w:rFonts w:ascii="Symbol" w:hAnsi="Symbol" w:hint="default"/>
      </w:rPr>
    </w:lvl>
    <w:lvl w:ilvl="1" w:tplc="08090003" w:tentative="1">
      <w:start w:val="1"/>
      <w:numFmt w:val="bullet"/>
      <w:pStyle w:val="Heading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D60A61"/>
    <w:multiLevelType w:val="multilevel"/>
    <w:tmpl w:val="1B9A3324"/>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2C12E60"/>
    <w:multiLevelType w:val="multilevel"/>
    <w:tmpl w:val="D71E5BA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731632B"/>
    <w:multiLevelType w:val="hybridMultilevel"/>
    <w:tmpl w:val="74F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386C3F"/>
    <w:multiLevelType w:val="multilevel"/>
    <w:tmpl w:val="18E8C5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DEB6685"/>
    <w:multiLevelType w:val="hybridMultilevel"/>
    <w:tmpl w:val="74B02290"/>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32">
    <w:nsid w:val="7E1C4FFD"/>
    <w:multiLevelType w:val="multilevel"/>
    <w:tmpl w:val="A76093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2A54C7"/>
    <w:multiLevelType w:val="hybridMultilevel"/>
    <w:tmpl w:val="AFB66650"/>
    <w:lvl w:ilvl="0" w:tplc="08090001">
      <w:start w:val="1"/>
      <w:numFmt w:val="bullet"/>
      <w:lvlText w:val=""/>
      <w:lvlJc w:val="left"/>
      <w:pPr>
        <w:ind w:left="5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26"/>
  </w:num>
  <w:num w:numId="5">
    <w:abstractNumId w:val="14"/>
  </w:num>
  <w:num w:numId="6">
    <w:abstractNumId w:val="15"/>
  </w:num>
  <w:num w:numId="7">
    <w:abstractNumId w:val="20"/>
  </w:num>
  <w:num w:numId="8">
    <w:abstractNumId w:val="31"/>
  </w:num>
  <w:num w:numId="9">
    <w:abstractNumId w:val="33"/>
  </w:num>
  <w:num w:numId="10">
    <w:abstractNumId w:val="32"/>
  </w:num>
  <w:num w:numId="11">
    <w:abstractNumId w:val="22"/>
  </w:num>
  <w:num w:numId="12">
    <w:abstractNumId w:val="8"/>
  </w:num>
  <w:num w:numId="13">
    <w:abstractNumId w:val="24"/>
  </w:num>
  <w:num w:numId="14">
    <w:abstractNumId w:val="7"/>
  </w:num>
  <w:num w:numId="15">
    <w:abstractNumId w:val="11"/>
  </w:num>
  <w:num w:numId="16">
    <w:abstractNumId w:val="29"/>
  </w:num>
  <w:num w:numId="17">
    <w:abstractNumId w:val="30"/>
  </w:num>
  <w:num w:numId="18">
    <w:abstractNumId w:val="6"/>
  </w:num>
  <w:num w:numId="19">
    <w:abstractNumId w:val="21"/>
  </w:num>
  <w:num w:numId="20">
    <w:abstractNumId w:val="16"/>
  </w:num>
  <w:num w:numId="21">
    <w:abstractNumId w:val="12"/>
  </w:num>
  <w:num w:numId="22">
    <w:abstractNumId w:val="9"/>
  </w:num>
  <w:num w:numId="23">
    <w:abstractNumId w:val="10"/>
  </w:num>
  <w:num w:numId="24">
    <w:abstractNumId w:val="25"/>
  </w:num>
  <w:num w:numId="25">
    <w:abstractNumId w:val="28"/>
  </w:num>
  <w:num w:numId="26">
    <w:abstractNumId w:val="13"/>
  </w:num>
  <w:num w:numId="27">
    <w:abstractNumId w:val="3"/>
  </w:num>
  <w:num w:numId="28">
    <w:abstractNumId w:val="19"/>
  </w:num>
  <w:num w:numId="29">
    <w:abstractNumId w:val="18"/>
  </w:num>
  <w:num w:numId="30">
    <w:abstractNumId w:val="5"/>
  </w:num>
  <w:num w:numId="31">
    <w:abstractNumId w:val="23"/>
  </w:num>
  <w:num w:numId="32">
    <w:abstractNumId w:val="0"/>
  </w:num>
  <w:num w:numId="33">
    <w:abstractNumId w:val="1"/>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F1"/>
    <w:rsid w:val="0000088B"/>
    <w:rsid w:val="00001136"/>
    <w:rsid w:val="00001BEB"/>
    <w:rsid w:val="0000387F"/>
    <w:rsid w:val="00004585"/>
    <w:rsid w:val="000046B0"/>
    <w:rsid w:val="00004E69"/>
    <w:rsid w:val="000058C9"/>
    <w:rsid w:val="00007093"/>
    <w:rsid w:val="00010784"/>
    <w:rsid w:val="000116BC"/>
    <w:rsid w:val="00013E9F"/>
    <w:rsid w:val="00014D51"/>
    <w:rsid w:val="0002026B"/>
    <w:rsid w:val="00021172"/>
    <w:rsid w:val="00021A9B"/>
    <w:rsid w:val="00022451"/>
    <w:rsid w:val="00022D9A"/>
    <w:rsid w:val="00022E1B"/>
    <w:rsid w:val="00023075"/>
    <w:rsid w:val="000231E4"/>
    <w:rsid w:val="0002521F"/>
    <w:rsid w:val="00025528"/>
    <w:rsid w:val="00026690"/>
    <w:rsid w:val="00027425"/>
    <w:rsid w:val="000276B7"/>
    <w:rsid w:val="00027936"/>
    <w:rsid w:val="00030A3E"/>
    <w:rsid w:val="00031961"/>
    <w:rsid w:val="00032169"/>
    <w:rsid w:val="0003248A"/>
    <w:rsid w:val="000331B9"/>
    <w:rsid w:val="0003448E"/>
    <w:rsid w:val="00035328"/>
    <w:rsid w:val="00036E65"/>
    <w:rsid w:val="00037722"/>
    <w:rsid w:val="000420C9"/>
    <w:rsid w:val="00042AA3"/>
    <w:rsid w:val="00047ED5"/>
    <w:rsid w:val="00050FD5"/>
    <w:rsid w:val="000538FF"/>
    <w:rsid w:val="00055066"/>
    <w:rsid w:val="0005536B"/>
    <w:rsid w:val="00055758"/>
    <w:rsid w:val="00060D94"/>
    <w:rsid w:val="00060EE9"/>
    <w:rsid w:val="000612FE"/>
    <w:rsid w:val="000616BB"/>
    <w:rsid w:val="00064113"/>
    <w:rsid w:val="000670FF"/>
    <w:rsid w:val="00073E88"/>
    <w:rsid w:val="00080B6A"/>
    <w:rsid w:val="00084FB5"/>
    <w:rsid w:val="00086D45"/>
    <w:rsid w:val="0008735F"/>
    <w:rsid w:val="00087D69"/>
    <w:rsid w:val="00091799"/>
    <w:rsid w:val="0009283B"/>
    <w:rsid w:val="00092F06"/>
    <w:rsid w:val="00093226"/>
    <w:rsid w:val="000932BE"/>
    <w:rsid w:val="000A153C"/>
    <w:rsid w:val="000A160C"/>
    <w:rsid w:val="000A26E0"/>
    <w:rsid w:val="000A33BC"/>
    <w:rsid w:val="000A4529"/>
    <w:rsid w:val="000B1272"/>
    <w:rsid w:val="000B1FF0"/>
    <w:rsid w:val="000B7232"/>
    <w:rsid w:val="000B7C85"/>
    <w:rsid w:val="000C1369"/>
    <w:rsid w:val="000C394B"/>
    <w:rsid w:val="000C3B4A"/>
    <w:rsid w:val="000C450A"/>
    <w:rsid w:val="000C54B2"/>
    <w:rsid w:val="000D1E1B"/>
    <w:rsid w:val="000D202B"/>
    <w:rsid w:val="000D20A5"/>
    <w:rsid w:val="000D22E5"/>
    <w:rsid w:val="000D3734"/>
    <w:rsid w:val="000D44CA"/>
    <w:rsid w:val="000D4976"/>
    <w:rsid w:val="000D6154"/>
    <w:rsid w:val="000D62B4"/>
    <w:rsid w:val="000D6CD3"/>
    <w:rsid w:val="000D725F"/>
    <w:rsid w:val="000D7A29"/>
    <w:rsid w:val="000E08F7"/>
    <w:rsid w:val="000E3391"/>
    <w:rsid w:val="000E341B"/>
    <w:rsid w:val="000E3673"/>
    <w:rsid w:val="000E412E"/>
    <w:rsid w:val="000E43F2"/>
    <w:rsid w:val="000E48B6"/>
    <w:rsid w:val="000E56E4"/>
    <w:rsid w:val="000E699A"/>
    <w:rsid w:val="000F2EB0"/>
    <w:rsid w:val="000F5D6F"/>
    <w:rsid w:val="0010126D"/>
    <w:rsid w:val="001037D9"/>
    <w:rsid w:val="00104E0A"/>
    <w:rsid w:val="0010546A"/>
    <w:rsid w:val="00110C51"/>
    <w:rsid w:val="00110CA4"/>
    <w:rsid w:val="001118AF"/>
    <w:rsid w:val="00112B49"/>
    <w:rsid w:val="00116C95"/>
    <w:rsid w:val="00117C48"/>
    <w:rsid w:val="001206A2"/>
    <w:rsid w:val="00120E95"/>
    <w:rsid w:val="001230CB"/>
    <w:rsid w:val="00124D2D"/>
    <w:rsid w:val="0012605A"/>
    <w:rsid w:val="00127C1C"/>
    <w:rsid w:val="00131637"/>
    <w:rsid w:val="00132236"/>
    <w:rsid w:val="001331AB"/>
    <w:rsid w:val="00133AEA"/>
    <w:rsid w:val="00133F3A"/>
    <w:rsid w:val="0013777B"/>
    <w:rsid w:val="00143495"/>
    <w:rsid w:val="00144A0F"/>
    <w:rsid w:val="00144C6C"/>
    <w:rsid w:val="00145012"/>
    <w:rsid w:val="00145FC0"/>
    <w:rsid w:val="0014640B"/>
    <w:rsid w:val="001471B6"/>
    <w:rsid w:val="00150DBA"/>
    <w:rsid w:val="0015125C"/>
    <w:rsid w:val="00151362"/>
    <w:rsid w:val="00151AD8"/>
    <w:rsid w:val="00151C46"/>
    <w:rsid w:val="00153958"/>
    <w:rsid w:val="001558B8"/>
    <w:rsid w:val="00155D44"/>
    <w:rsid w:val="00155D4D"/>
    <w:rsid w:val="0015600D"/>
    <w:rsid w:val="00160C8D"/>
    <w:rsid w:val="001635CB"/>
    <w:rsid w:val="00166E30"/>
    <w:rsid w:val="00166E5A"/>
    <w:rsid w:val="00171ABD"/>
    <w:rsid w:val="00172985"/>
    <w:rsid w:val="00173219"/>
    <w:rsid w:val="00174C1E"/>
    <w:rsid w:val="00175193"/>
    <w:rsid w:val="00183BF5"/>
    <w:rsid w:val="00184856"/>
    <w:rsid w:val="00186691"/>
    <w:rsid w:val="001877BA"/>
    <w:rsid w:val="001902B5"/>
    <w:rsid w:val="00190B1F"/>
    <w:rsid w:val="00192585"/>
    <w:rsid w:val="0019261A"/>
    <w:rsid w:val="001A1C14"/>
    <w:rsid w:val="001A2692"/>
    <w:rsid w:val="001A5D26"/>
    <w:rsid w:val="001B022D"/>
    <w:rsid w:val="001B0FCE"/>
    <w:rsid w:val="001B19E1"/>
    <w:rsid w:val="001B1B34"/>
    <w:rsid w:val="001B280D"/>
    <w:rsid w:val="001B3947"/>
    <w:rsid w:val="001B3EF7"/>
    <w:rsid w:val="001B3F50"/>
    <w:rsid w:val="001B4207"/>
    <w:rsid w:val="001B576D"/>
    <w:rsid w:val="001B622B"/>
    <w:rsid w:val="001C1875"/>
    <w:rsid w:val="001C2FE1"/>
    <w:rsid w:val="001C3E34"/>
    <w:rsid w:val="001C5C3A"/>
    <w:rsid w:val="001D434E"/>
    <w:rsid w:val="001D5470"/>
    <w:rsid w:val="001E0782"/>
    <w:rsid w:val="001E1967"/>
    <w:rsid w:val="001E2CEC"/>
    <w:rsid w:val="001E3951"/>
    <w:rsid w:val="001E3986"/>
    <w:rsid w:val="001E4625"/>
    <w:rsid w:val="001E5DBE"/>
    <w:rsid w:val="001E6B62"/>
    <w:rsid w:val="001E6E56"/>
    <w:rsid w:val="001F0303"/>
    <w:rsid w:val="001F0843"/>
    <w:rsid w:val="001F1C27"/>
    <w:rsid w:val="002006FE"/>
    <w:rsid w:val="0020083E"/>
    <w:rsid w:val="00202963"/>
    <w:rsid w:val="00202C94"/>
    <w:rsid w:val="00207EC6"/>
    <w:rsid w:val="00210A68"/>
    <w:rsid w:val="0021287B"/>
    <w:rsid w:val="002146F5"/>
    <w:rsid w:val="00215B52"/>
    <w:rsid w:val="00217323"/>
    <w:rsid w:val="00220BAA"/>
    <w:rsid w:val="0022111A"/>
    <w:rsid w:val="002218EB"/>
    <w:rsid w:val="002219B7"/>
    <w:rsid w:val="002231C8"/>
    <w:rsid w:val="00224EF2"/>
    <w:rsid w:val="00225A16"/>
    <w:rsid w:val="00226B8F"/>
    <w:rsid w:val="002303FD"/>
    <w:rsid w:val="00230CF0"/>
    <w:rsid w:val="00230E91"/>
    <w:rsid w:val="00231D80"/>
    <w:rsid w:val="00232986"/>
    <w:rsid w:val="00233C41"/>
    <w:rsid w:val="002366A1"/>
    <w:rsid w:val="002369BE"/>
    <w:rsid w:val="002371A1"/>
    <w:rsid w:val="00244879"/>
    <w:rsid w:val="00250907"/>
    <w:rsid w:val="00250FC2"/>
    <w:rsid w:val="0025108C"/>
    <w:rsid w:val="00251A1A"/>
    <w:rsid w:val="00253B80"/>
    <w:rsid w:val="00253BBE"/>
    <w:rsid w:val="00253BD9"/>
    <w:rsid w:val="00254AFE"/>
    <w:rsid w:val="00255D41"/>
    <w:rsid w:val="002572A7"/>
    <w:rsid w:val="00257B8E"/>
    <w:rsid w:val="00257F6F"/>
    <w:rsid w:val="002615AE"/>
    <w:rsid w:val="0026311B"/>
    <w:rsid w:val="00263FD8"/>
    <w:rsid w:val="00264C62"/>
    <w:rsid w:val="00265345"/>
    <w:rsid w:val="002656E2"/>
    <w:rsid w:val="00265A4B"/>
    <w:rsid w:val="002662E6"/>
    <w:rsid w:val="0026657C"/>
    <w:rsid w:val="002679B5"/>
    <w:rsid w:val="00270A0D"/>
    <w:rsid w:val="00272F9B"/>
    <w:rsid w:val="00276781"/>
    <w:rsid w:val="00277E5F"/>
    <w:rsid w:val="002805A9"/>
    <w:rsid w:val="0028118C"/>
    <w:rsid w:val="002852D3"/>
    <w:rsid w:val="002874AC"/>
    <w:rsid w:val="00287714"/>
    <w:rsid w:val="0029095E"/>
    <w:rsid w:val="00290F42"/>
    <w:rsid w:val="00292228"/>
    <w:rsid w:val="0029507C"/>
    <w:rsid w:val="00295206"/>
    <w:rsid w:val="002A0809"/>
    <w:rsid w:val="002A2508"/>
    <w:rsid w:val="002A2ABF"/>
    <w:rsid w:val="002A35FA"/>
    <w:rsid w:val="002A458E"/>
    <w:rsid w:val="002B0A0D"/>
    <w:rsid w:val="002B1765"/>
    <w:rsid w:val="002C0D5D"/>
    <w:rsid w:val="002C28E6"/>
    <w:rsid w:val="002C371B"/>
    <w:rsid w:val="002C442C"/>
    <w:rsid w:val="002C6DC4"/>
    <w:rsid w:val="002D00DE"/>
    <w:rsid w:val="002D06BE"/>
    <w:rsid w:val="002D13F8"/>
    <w:rsid w:val="002D4C34"/>
    <w:rsid w:val="002D5FA1"/>
    <w:rsid w:val="002D7C6A"/>
    <w:rsid w:val="002E174A"/>
    <w:rsid w:val="002E3290"/>
    <w:rsid w:val="002E32B6"/>
    <w:rsid w:val="002E349B"/>
    <w:rsid w:val="002E34D7"/>
    <w:rsid w:val="002E40AC"/>
    <w:rsid w:val="002E7261"/>
    <w:rsid w:val="002F0A29"/>
    <w:rsid w:val="002F31AB"/>
    <w:rsid w:val="002F42FF"/>
    <w:rsid w:val="002F5FB4"/>
    <w:rsid w:val="002F6AD7"/>
    <w:rsid w:val="002F6F48"/>
    <w:rsid w:val="002F71A5"/>
    <w:rsid w:val="0030089E"/>
    <w:rsid w:val="003009E7"/>
    <w:rsid w:val="003050AC"/>
    <w:rsid w:val="0031018B"/>
    <w:rsid w:val="00310578"/>
    <w:rsid w:val="0031070E"/>
    <w:rsid w:val="00311426"/>
    <w:rsid w:val="003117CD"/>
    <w:rsid w:val="003129C8"/>
    <w:rsid w:val="00312F2A"/>
    <w:rsid w:val="00314186"/>
    <w:rsid w:val="0031509C"/>
    <w:rsid w:val="00322863"/>
    <w:rsid w:val="00322A41"/>
    <w:rsid w:val="00322C7C"/>
    <w:rsid w:val="00323CAF"/>
    <w:rsid w:val="003241E4"/>
    <w:rsid w:val="00325040"/>
    <w:rsid w:val="00327534"/>
    <w:rsid w:val="00327607"/>
    <w:rsid w:val="00327B31"/>
    <w:rsid w:val="00327CA8"/>
    <w:rsid w:val="00330152"/>
    <w:rsid w:val="003308DC"/>
    <w:rsid w:val="00336A54"/>
    <w:rsid w:val="00337EE0"/>
    <w:rsid w:val="0034074A"/>
    <w:rsid w:val="0034247F"/>
    <w:rsid w:val="003437E8"/>
    <w:rsid w:val="0034408D"/>
    <w:rsid w:val="003440EF"/>
    <w:rsid w:val="00344E7A"/>
    <w:rsid w:val="00345B0B"/>
    <w:rsid w:val="00346329"/>
    <w:rsid w:val="00346F6C"/>
    <w:rsid w:val="0034783D"/>
    <w:rsid w:val="00347DC8"/>
    <w:rsid w:val="00350A70"/>
    <w:rsid w:val="00355117"/>
    <w:rsid w:val="003557A9"/>
    <w:rsid w:val="003577EB"/>
    <w:rsid w:val="00360144"/>
    <w:rsid w:val="00360E7C"/>
    <w:rsid w:val="00361051"/>
    <w:rsid w:val="00363374"/>
    <w:rsid w:val="00365AC1"/>
    <w:rsid w:val="00365DB1"/>
    <w:rsid w:val="00365FD5"/>
    <w:rsid w:val="003663C2"/>
    <w:rsid w:val="003670EC"/>
    <w:rsid w:val="003672CE"/>
    <w:rsid w:val="0037003C"/>
    <w:rsid w:val="00370A78"/>
    <w:rsid w:val="00371BAE"/>
    <w:rsid w:val="003724A3"/>
    <w:rsid w:val="00373C58"/>
    <w:rsid w:val="00375382"/>
    <w:rsid w:val="00376D29"/>
    <w:rsid w:val="00376F5C"/>
    <w:rsid w:val="00377717"/>
    <w:rsid w:val="003854B1"/>
    <w:rsid w:val="0038565D"/>
    <w:rsid w:val="00390ADA"/>
    <w:rsid w:val="00393E7C"/>
    <w:rsid w:val="003949BA"/>
    <w:rsid w:val="00394EC1"/>
    <w:rsid w:val="00395178"/>
    <w:rsid w:val="003A0636"/>
    <w:rsid w:val="003A0767"/>
    <w:rsid w:val="003A12F2"/>
    <w:rsid w:val="003A313F"/>
    <w:rsid w:val="003A3290"/>
    <w:rsid w:val="003A4708"/>
    <w:rsid w:val="003A6EB0"/>
    <w:rsid w:val="003A7521"/>
    <w:rsid w:val="003B193B"/>
    <w:rsid w:val="003B22D6"/>
    <w:rsid w:val="003B2301"/>
    <w:rsid w:val="003C13A1"/>
    <w:rsid w:val="003C1440"/>
    <w:rsid w:val="003C1A62"/>
    <w:rsid w:val="003C206E"/>
    <w:rsid w:val="003C20F0"/>
    <w:rsid w:val="003C2640"/>
    <w:rsid w:val="003C34DA"/>
    <w:rsid w:val="003C38C6"/>
    <w:rsid w:val="003C692B"/>
    <w:rsid w:val="003C7368"/>
    <w:rsid w:val="003D21D1"/>
    <w:rsid w:val="003D3146"/>
    <w:rsid w:val="003D368B"/>
    <w:rsid w:val="003D7160"/>
    <w:rsid w:val="003E2ED3"/>
    <w:rsid w:val="003E449D"/>
    <w:rsid w:val="003E6294"/>
    <w:rsid w:val="003E66F5"/>
    <w:rsid w:val="003E68EA"/>
    <w:rsid w:val="003E6A9D"/>
    <w:rsid w:val="003E78A0"/>
    <w:rsid w:val="003E7A7E"/>
    <w:rsid w:val="003F0CC9"/>
    <w:rsid w:val="003F0EB7"/>
    <w:rsid w:val="003F159C"/>
    <w:rsid w:val="003F23A7"/>
    <w:rsid w:val="003F4B13"/>
    <w:rsid w:val="003F510E"/>
    <w:rsid w:val="003F6A49"/>
    <w:rsid w:val="00400C02"/>
    <w:rsid w:val="00403D4F"/>
    <w:rsid w:val="004055AA"/>
    <w:rsid w:val="00405C45"/>
    <w:rsid w:val="00411948"/>
    <w:rsid w:val="004152FE"/>
    <w:rsid w:val="00415480"/>
    <w:rsid w:val="00416422"/>
    <w:rsid w:val="0041686C"/>
    <w:rsid w:val="0043160E"/>
    <w:rsid w:val="00432334"/>
    <w:rsid w:val="00433302"/>
    <w:rsid w:val="004334F1"/>
    <w:rsid w:val="00433B9D"/>
    <w:rsid w:val="0044108A"/>
    <w:rsid w:val="00441251"/>
    <w:rsid w:val="004419C1"/>
    <w:rsid w:val="00441CBD"/>
    <w:rsid w:val="004421B7"/>
    <w:rsid w:val="00443CCA"/>
    <w:rsid w:val="004452C7"/>
    <w:rsid w:val="0044692D"/>
    <w:rsid w:val="00446E25"/>
    <w:rsid w:val="00446F8B"/>
    <w:rsid w:val="00450987"/>
    <w:rsid w:val="00450F6D"/>
    <w:rsid w:val="00453276"/>
    <w:rsid w:val="0045640B"/>
    <w:rsid w:val="0046081A"/>
    <w:rsid w:val="00460EF1"/>
    <w:rsid w:val="00461241"/>
    <w:rsid w:val="004618F3"/>
    <w:rsid w:val="0046470E"/>
    <w:rsid w:val="00465284"/>
    <w:rsid w:val="0046658E"/>
    <w:rsid w:val="00467AF1"/>
    <w:rsid w:val="00471358"/>
    <w:rsid w:val="004740B1"/>
    <w:rsid w:val="004744B5"/>
    <w:rsid w:val="004754FB"/>
    <w:rsid w:val="00480306"/>
    <w:rsid w:val="0048200D"/>
    <w:rsid w:val="00484B9D"/>
    <w:rsid w:val="00485503"/>
    <w:rsid w:val="00487D2F"/>
    <w:rsid w:val="00487E4B"/>
    <w:rsid w:val="00490035"/>
    <w:rsid w:val="00492C21"/>
    <w:rsid w:val="00494144"/>
    <w:rsid w:val="00494E74"/>
    <w:rsid w:val="00495DE0"/>
    <w:rsid w:val="00496FF5"/>
    <w:rsid w:val="004A0CA2"/>
    <w:rsid w:val="004B01C7"/>
    <w:rsid w:val="004B11F2"/>
    <w:rsid w:val="004B24FD"/>
    <w:rsid w:val="004B2DA0"/>
    <w:rsid w:val="004B44DC"/>
    <w:rsid w:val="004B743F"/>
    <w:rsid w:val="004B7830"/>
    <w:rsid w:val="004B7E66"/>
    <w:rsid w:val="004C4703"/>
    <w:rsid w:val="004C7D5A"/>
    <w:rsid w:val="004D2EC3"/>
    <w:rsid w:val="004D3FB8"/>
    <w:rsid w:val="004D4320"/>
    <w:rsid w:val="004E0B8C"/>
    <w:rsid w:val="004E135E"/>
    <w:rsid w:val="004E1638"/>
    <w:rsid w:val="004E1EF2"/>
    <w:rsid w:val="004E2547"/>
    <w:rsid w:val="004E2F3A"/>
    <w:rsid w:val="004E3B78"/>
    <w:rsid w:val="004E5469"/>
    <w:rsid w:val="004E5877"/>
    <w:rsid w:val="004E6566"/>
    <w:rsid w:val="004E7C41"/>
    <w:rsid w:val="004F0539"/>
    <w:rsid w:val="004F1009"/>
    <w:rsid w:val="004F146F"/>
    <w:rsid w:val="004F277C"/>
    <w:rsid w:val="004F460B"/>
    <w:rsid w:val="004F5990"/>
    <w:rsid w:val="004F6AE9"/>
    <w:rsid w:val="0050076E"/>
    <w:rsid w:val="005010B2"/>
    <w:rsid w:val="005023DD"/>
    <w:rsid w:val="00510B65"/>
    <w:rsid w:val="00513635"/>
    <w:rsid w:val="0051447C"/>
    <w:rsid w:val="005148B2"/>
    <w:rsid w:val="0052466E"/>
    <w:rsid w:val="005246D7"/>
    <w:rsid w:val="00524ABF"/>
    <w:rsid w:val="00530AD1"/>
    <w:rsid w:val="00537C49"/>
    <w:rsid w:val="00537E0B"/>
    <w:rsid w:val="0054305B"/>
    <w:rsid w:val="00543BF5"/>
    <w:rsid w:val="00550194"/>
    <w:rsid w:val="005506A3"/>
    <w:rsid w:val="00550966"/>
    <w:rsid w:val="005536EC"/>
    <w:rsid w:val="00553E5A"/>
    <w:rsid w:val="005562E7"/>
    <w:rsid w:val="00556B52"/>
    <w:rsid w:val="00560FA0"/>
    <w:rsid w:val="00561719"/>
    <w:rsid w:val="0056248A"/>
    <w:rsid w:val="0056443D"/>
    <w:rsid w:val="00564667"/>
    <w:rsid w:val="00565B0B"/>
    <w:rsid w:val="0056683C"/>
    <w:rsid w:val="00566C56"/>
    <w:rsid w:val="00572BEB"/>
    <w:rsid w:val="0057333E"/>
    <w:rsid w:val="00574FF9"/>
    <w:rsid w:val="00575161"/>
    <w:rsid w:val="0057540A"/>
    <w:rsid w:val="00575469"/>
    <w:rsid w:val="00577CBF"/>
    <w:rsid w:val="00583FA9"/>
    <w:rsid w:val="00586975"/>
    <w:rsid w:val="00590771"/>
    <w:rsid w:val="0059331C"/>
    <w:rsid w:val="0059433A"/>
    <w:rsid w:val="0059693A"/>
    <w:rsid w:val="005A3772"/>
    <w:rsid w:val="005A62E2"/>
    <w:rsid w:val="005B2429"/>
    <w:rsid w:val="005B24E9"/>
    <w:rsid w:val="005B2D34"/>
    <w:rsid w:val="005B3FC9"/>
    <w:rsid w:val="005B4707"/>
    <w:rsid w:val="005B5A15"/>
    <w:rsid w:val="005B5E42"/>
    <w:rsid w:val="005C3C84"/>
    <w:rsid w:val="005C589E"/>
    <w:rsid w:val="005C65DE"/>
    <w:rsid w:val="005C73D4"/>
    <w:rsid w:val="005D0377"/>
    <w:rsid w:val="005D17F2"/>
    <w:rsid w:val="005D1B3F"/>
    <w:rsid w:val="005D3AD8"/>
    <w:rsid w:val="005E18F5"/>
    <w:rsid w:val="005E473D"/>
    <w:rsid w:val="005E51E9"/>
    <w:rsid w:val="005E6A06"/>
    <w:rsid w:val="005E73CA"/>
    <w:rsid w:val="005F2A1F"/>
    <w:rsid w:val="005F39DD"/>
    <w:rsid w:val="005F40EF"/>
    <w:rsid w:val="005F53E8"/>
    <w:rsid w:val="005F7386"/>
    <w:rsid w:val="005F7C31"/>
    <w:rsid w:val="0060130C"/>
    <w:rsid w:val="00602B9E"/>
    <w:rsid w:val="006032DD"/>
    <w:rsid w:val="00605B24"/>
    <w:rsid w:val="006103EC"/>
    <w:rsid w:val="00610B55"/>
    <w:rsid w:val="00610D95"/>
    <w:rsid w:val="006113B8"/>
    <w:rsid w:val="0061245E"/>
    <w:rsid w:val="0061278E"/>
    <w:rsid w:val="006242AC"/>
    <w:rsid w:val="0063071B"/>
    <w:rsid w:val="00630A02"/>
    <w:rsid w:val="0063107D"/>
    <w:rsid w:val="0063378D"/>
    <w:rsid w:val="00635CE7"/>
    <w:rsid w:val="00637059"/>
    <w:rsid w:val="006371D0"/>
    <w:rsid w:val="00641AF8"/>
    <w:rsid w:val="00642E6C"/>
    <w:rsid w:val="006432B4"/>
    <w:rsid w:val="00644BA5"/>
    <w:rsid w:val="00644C12"/>
    <w:rsid w:val="006462B6"/>
    <w:rsid w:val="006462FB"/>
    <w:rsid w:val="00651C0C"/>
    <w:rsid w:val="00654245"/>
    <w:rsid w:val="0065534E"/>
    <w:rsid w:val="00655A61"/>
    <w:rsid w:val="0066126C"/>
    <w:rsid w:val="006622AF"/>
    <w:rsid w:val="0066374C"/>
    <w:rsid w:val="00665542"/>
    <w:rsid w:val="00665544"/>
    <w:rsid w:val="00666350"/>
    <w:rsid w:val="00666CA4"/>
    <w:rsid w:val="0066755D"/>
    <w:rsid w:val="00670ED1"/>
    <w:rsid w:val="00672F9E"/>
    <w:rsid w:val="00673E8E"/>
    <w:rsid w:val="00674AB6"/>
    <w:rsid w:val="00676854"/>
    <w:rsid w:val="0067712A"/>
    <w:rsid w:val="00677356"/>
    <w:rsid w:val="0068084B"/>
    <w:rsid w:val="006814D7"/>
    <w:rsid w:val="006829BE"/>
    <w:rsid w:val="006849A2"/>
    <w:rsid w:val="006857FA"/>
    <w:rsid w:val="006873F0"/>
    <w:rsid w:val="00690C71"/>
    <w:rsid w:val="0069118D"/>
    <w:rsid w:val="00692519"/>
    <w:rsid w:val="006938DF"/>
    <w:rsid w:val="00694F7B"/>
    <w:rsid w:val="00697D76"/>
    <w:rsid w:val="006A1608"/>
    <w:rsid w:val="006A20E7"/>
    <w:rsid w:val="006A3937"/>
    <w:rsid w:val="006A45C5"/>
    <w:rsid w:val="006A53B8"/>
    <w:rsid w:val="006A6BF2"/>
    <w:rsid w:val="006A7709"/>
    <w:rsid w:val="006A7B42"/>
    <w:rsid w:val="006B0E1F"/>
    <w:rsid w:val="006B2074"/>
    <w:rsid w:val="006B33E7"/>
    <w:rsid w:val="006B4250"/>
    <w:rsid w:val="006B4CF8"/>
    <w:rsid w:val="006B51D0"/>
    <w:rsid w:val="006C78CA"/>
    <w:rsid w:val="006D3B23"/>
    <w:rsid w:val="006D3DBB"/>
    <w:rsid w:val="006D3E6F"/>
    <w:rsid w:val="006D69E4"/>
    <w:rsid w:val="006D743F"/>
    <w:rsid w:val="006E03FB"/>
    <w:rsid w:val="006E0889"/>
    <w:rsid w:val="006E5861"/>
    <w:rsid w:val="006E598B"/>
    <w:rsid w:val="006E6285"/>
    <w:rsid w:val="006E6FBE"/>
    <w:rsid w:val="006E7789"/>
    <w:rsid w:val="006E7D00"/>
    <w:rsid w:val="006F3499"/>
    <w:rsid w:val="006F3AAC"/>
    <w:rsid w:val="006F7517"/>
    <w:rsid w:val="0070001B"/>
    <w:rsid w:val="00702241"/>
    <w:rsid w:val="007038A0"/>
    <w:rsid w:val="00704689"/>
    <w:rsid w:val="00706869"/>
    <w:rsid w:val="00707916"/>
    <w:rsid w:val="00710E7A"/>
    <w:rsid w:val="00711D43"/>
    <w:rsid w:val="0071481C"/>
    <w:rsid w:val="00714853"/>
    <w:rsid w:val="00715971"/>
    <w:rsid w:val="00716CCD"/>
    <w:rsid w:val="007201F5"/>
    <w:rsid w:val="007209C9"/>
    <w:rsid w:val="00721D3C"/>
    <w:rsid w:val="007240F0"/>
    <w:rsid w:val="00725B45"/>
    <w:rsid w:val="007327C9"/>
    <w:rsid w:val="007366E1"/>
    <w:rsid w:val="007370BB"/>
    <w:rsid w:val="00741008"/>
    <w:rsid w:val="0074337B"/>
    <w:rsid w:val="00746D33"/>
    <w:rsid w:val="00747266"/>
    <w:rsid w:val="00750C2B"/>
    <w:rsid w:val="00752B6A"/>
    <w:rsid w:val="0075658A"/>
    <w:rsid w:val="00756A8D"/>
    <w:rsid w:val="00756D0A"/>
    <w:rsid w:val="007616D0"/>
    <w:rsid w:val="00761A6A"/>
    <w:rsid w:val="0076216B"/>
    <w:rsid w:val="00762FAD"/>
    <w:rsid w:val="00764BED"/>
    <w:rsid w:val="00765801"/>
    <w:rsid w:val="00770FC7"/>
    <w:rsid w:val="007711B1"/>
    <w:rsid w:val="00773292"/>
    <w:rsid w:val="00774514"/>
    <w:rsid w:val="00774C8F"/>
    <w:rsid w:val="00776CE4"/>
    <w:rsid w:val="00777264"/>
    <w:rsid w:val="00777A9B"/>
    <w:rsid w:val="007816AE"/>
    <w:rsid w:val="0078456E"/>
    <w:rsid w:val="007857F8"/>
    <w:rsid w:val="007858BA"/>
    <w:rsid w:val="0078670C"/>
    <w:rsid w:val="00790269"/>
    <w:rsid w:val="00790A6C"/>
    <w:rsid w:val="0079140A"/>
    <w:rsid w:val="00791BE5"/>
    <w:rsid w:val="00794C6A"/>
    <w:rsid w:val="007A35F3"/>
    <w:rsid w:val="007A3B6E"/>
    <w:rsid w:val="007A4352"/>
    <w:rsid w:val="007A62B9"/>
    <w:rsid w:val="007B1264"/>
    <w:rsid w:val="007B263B"/>
    <w:rsid w:val="007B479A"/>
    <w:rsid w:val="007B532A"/>
    <w:rsid w:val="007C0D09"/>
    <w:rsid w:val="007C1793"/>
    <w:rsid w:val="007C197E"/>
    <w:rsid w:val="007C22D0"/>
    <w:rsid w:val="007C30E2"/>
    <w:rsid w:val="007C3CA8"/>
    <w:rsid w:val="007C3E3F"/>
    <w:rsid w:val="007C6138"/>
    <w:rsid w:val="007C65DE"/>
    <w:rsid w:val="007D4964"/>
    <w:rsid w:val="007D642C"/>
    <w:rsid w:val="007E046B"/>
    <w:rsid w:val="007E0ACD"/>
    <w:rsid w:val="007E1CE4"/>
    <w:rsid w:val="007E7326"/>
    <w:rsid w:val="007F0806"/>
    <w:rsid w:val="007F48F8"/>
    <w:rsid w:val="007F5DA5"/>
    <w:rsid w:val="007F7182"/>
    <w:rsid w:val="007F770C"/>
    <w:rsid w:val="008022CD"/>
    <w:rsid w:val="00802629"/>
    <w:rsid w:val="008037E4"/>
    <w:rsid w:val="00803C48"/>
    <w:rsid w:val="00804F8F"/>
    <w:rsid w:val="0080538D"/>
    <w:rsid w:val="0080591C"/>
    <w:rsid w:val="00805989"/>
    <w:rsid w:val="008074C2"/>
    <w:rsid w:val="008079D7"/>
    <w:rsid w:val="00807D77"/>
    <w:rsid w:val="008107E7"/>
    <w:rsid w:val="00811CB3"/>
    <w:rsid w:val="00813CED"/>
    <w:rsid w:val="0081608A"/>
    <w:rsid w:val="00817BCA"/>
    <w:rsid w:val="00820BE4"/>
    <w:rsid w:val="008211AF"/>
    <w:rsid w:val="00821D4D"/>
    <w:rsid w:val="00822E4C"/>
    <w:rsid w:val="008269FC"/>
    <w:rsid w:val="00827300"/>
    <w:rsid w:val="00843FD3"/>
    <w:rsid w:val="00844B67"/>
    <w:rsid w:val="00847CA7"/>
    <w:rsid w:val="0085085B"/>
    <w:rsid w:val="0085328F"/>
    <w:rsid w:val="008549AB"/>
    <w:rsid w:val="0085697F"/>
    <w:rsid w:val="00856F1F"/>
    <w:rsid w:val="00860FFD"/>
    <w:rsid w:val="00863537"/>
    <w:rsid w:val="00863E51"/>
    <w:rsid w:val="00865428"/>
    <w:rsid w:val="008656B6"/>
    <w:rsid w:val="00870269"/>
    <w:rsid w:val="00871246"/>
    <w:rsid w:val="00872B37"/>
    <w:rsid w:val="008733AA"/>
    <w:rsid w:val="00873F7C"/>
    <w:rsid w:val="0087519A"/>
    <w:rsid w:val="00875D8D"/>
    <w:rsid w:val="00876086"/>
    <w:rsid w:val="00876AE5"/>
    <w:rsid w:val="008776D9"/>
    <w:rsid w:val="00881BF6"/>
    <w:rsid w:val="00881EB7"/>
    <w:rsid w:val="0088294E"/>
    <w:rsid w:val="00882ACE"/>
    <w:rsid w:val="00883D5D"/>
    <w:rsid w:val="0088504D"/>
    <w:rsid w:val="00885052"/>
    <w:rsid w:val="00886C1C"/>
    <w:rsid w:val="00886DE6"/>
    <w:rsid w:val="008873A6"/>
    <w:rsid w:val="0088793C"/>
    <w:rsid w:val="00887AF0"/>
    <w:rsid w:val="00890C3F"/>
    <w:rsid w:val="008935A9"/>
    <w:rsid w:val="00893FF8"/>
    <w:rsid w:val="00894FE7"/>
    <w:rsid w:val="00897137"/>
    <w:rsid w:val="008A1B49"/>
    <w:rsid w:val="008A1F8A"/>
    <w:rsid w:val="008A3A0F"/>
    <w:rsid w:val="008A3D23"/>
    <w:rsid w:val="008A7BFA"/>
    <w:rsid w:val="008A7F85"/>
    <w:rsid w:val="008B035D"/>
    <w:rsid w:val="008B04E7"/>
    <w:rsid w:val="008B0BAD"/>
    <w:rsid w:val="008B302F"/>
    <w:rsid w:val="008B4A59"/>
    <w:rsid w:val="008B6284"/>
    <w:rsid w:val="008B7C44"/>
    <w:rsid w:val="008C111E"/>
    <w:rsid w:val="008C4A35"/>
    <w:rsid w:val="008C5706"/>
    <w:rsid w:val="008C6962"/>
    <w:rsid w:val="008C7B92"/>
    <w:rsid w:val="008D01A0"/>
    <w:rsid w:val="008D084D"/>
    <w:rsid w:val="008D20B0"/>
    <w:rsid w:val="008D4F0B"/>
    <w:rsid w:val="008D60FB"/>
    <w:rsid w:val="008E29F2"/>
    <w:rsid w:val="008E2F24"/>
    <w:rsid w:val="008E307A"/>
    <w:rsid w:val="008E675C"/>
    <w:rsid w:val="008F2634"/>
    <w:rsid w:val="008F7603"/>
    <w:rsid w:val="00902948"/>
    <w:rsid w:val="00902C59"/>
    <w:rsid w:val="00903BCB"/>
    <w:rsid w:val="00904BBA"/>
    <w:rsid w:val="009057C8"/>
    <w:rsid w:val="0091272A"/>
    <w:rsid w:val="0091349C"/>
    <w:rsid w:val="00913642"/>
    <w:rsid w:val="00914922"/>
    <w:rsid w:val="009149CE"/>
    <w:rsid w:val="009171F2"/>
    <w:rsid w:val="00923969"/>
    <w:rsid w:val="009242C5"/>
    <w:rsid w:val="00926FB0"/>
    <w:rsid w:val="0092764B"/>
    <w:rsid w:val="00931866"/>
    <w:rsid w:val="0093483A"/>
    <w:rsid w:val="0093529D"/>
    <w:rsid w:val="00940027"/>
    <w:rsid w:val="00941617"/>
    <w:rsid w:val="0094200A"/>
    <w:rsid w:val="009434A1"/>
    <w:rsid w:val="00943EF0"/>
    <w:rsid w:val="0094519B"/>
    <w:rsid w:val="00946915"/>
    <w:rsid w:val="00946CCC"/>
    <w:rsid w:val="009470D3"/>
    <w:rsid w:val="00950D72"/>
    <w:rsid w:val="009520F6"/>
    <w:rsid w:val="00952452"/>
    <w:rsid w:val="009534A7"/>
    <w:rsid w:val="00955B25"/>
    <w:rsid w:val="009564C8"/>
    <w:rsid w:val="009566CE"/>
    <w:rsid w:val="009569CA"/>
    <w:rsid w:val="009620CC"/>
    <w:rsid w:val="00962E9F"/>
    <w:rsid w:val="0096323A"/>
    <w:rsid w:val="00963E6E"/>
    <w:rsid w:val="00964BBA"/>
    <w:rsid w:val="00966B0C"/>
    <w:rsid w:val="00966D66"/>
    <w:rsid w:val="00976678"/>
    <w:rsid w:val="009804F9"/>
    <w:rsid w:val="009815CF"/>
    <w:rsid w:val="00981AA2"/>
    <w:rsid w:val="0098486E"/>
    <w:rsid w:val="00986748"/>
    <w:rsid w:val="00986F23"/>
    <w:rsid w:val="00986F93"/>
    <w:rsid w:val="009913A2"/>
    <w:rsid w:val="00992F39"/>
    <w:rsid w:val="00993084"/>
    <w:rsid w:val="00993DC4"/>
    <w:rsid w:val="00994F09"/>
    <w:rsid w:val="0099728D"/>
    <w:rsid w:val="009A04AE"/>
    <w:rsid w:val="009A090D"/>
    <w:rsid w:val="009B0092"/>
    <w:rsid w:val="009B082C"/>
    <w:rsid w:val="009B1565"/>
    <w:rsid w:val="009B2F1E"/>
    <w:rsid w:val="009C0453"/>
    <w:rsid w:val="009C0B62"/>
    <w:rsid w:val="009C1E78"/>
    <w:rsid w:val="009C2791"/>
    <w:rsid w:val="009C2E57"/>
    <w:rsid w:val="009C2F3B"/>
    <w:rsid w:val="009C3634"/>
    <w:rsid w:val="009C47DD"/>
    <w:rsid w:val="009D018F"/>
    <w:rsid w:val="009D4702"/>
    <w:rsid w:val="009D484F"/>
    <w:rsid w:val="009D666D"/>
    <w:rsid w:val="009E2018"/>
    <w:rsid w:val="009E2ED1"/>
    <w:rsid w:val="009E37B9"/>
    <w:rsid w:val="009E390B"/>
    <w:rsid w:val="009E3CC1"/>
    <w:rsid w:val="009E4A36"/>
    <w:rsid w:val="009E4B6E"/>
    <w:rsid w:val="009E7864"/>
    <w:rsid w:val="009E7A87"/>
    <w:rsid w:val="009F17BB"/>
    <w:rsid w:val="009F1B5D"/>
    <w:rsid w:val="009F2363"/>
    <w:rsid w:val="009F5916"/>
    <w:rsid w:val="00A025D2"/>
    <w:rsid w:val="00A04FAB"/>
    <w:rsid w:val="00A11F20"/>
    <w:rsid w:val="00A138A0"/>
    <w:rsid w:val="00A168A6"/>
    <w:rsid w:val="00A16F21"/>
    <w:rsid w:val="00A22226"/>
    <w:rsid w:val="00A246E6"/>
    <w:rsid w:val="00A252C7"/>
    <w:rsid w:val="00A26243"/>
    <w:rsid w:val="00A30033"/>
    <w:rsid w:val="00A332AF"/>
    <w:rsid w:val="00A33801"/>
    <w:rsid w:val="00A341F3"/>
    <w:rsid w:val="00A34D2D"/>
    <w:rsid w:val="00A36CA6"/>
    <w:rsid w:val="00A36F88"/>
    <w:rsid w:val="00A37C1A"/>
    <w:rsid w:val="00A419E5"/>
    <w:rsid w:val="00A4344C"/>
    <w:rsid w:val="00A453AF"/>
    <w:rsid w:val="00A464D9"/>
    <w:rsid w:val="00A465B0"/>
    <w:rsid w:val="00A47232"/>
    <w:rsid w:val="00A4750C"/>
    <w:rsid w:val="00A50398"/>
    <w:rsid w:val="00A50FED"/>
    <w:rsid w:val="00A515F8"/>
    <w:rsid w:val="00A55BC7"/>
    <w:rsid w:val="00A56675"/>
    <w:rsid w:val="00A57BE3"/>
    <w:rsid w:val="00A62033"/>
    <w:rsid w:val="00A63AF1"/>
    <w:rsid w:val="00A66325"/>
    <w:rsid w:val="00A6637D"/>
    <w:rsid w:val="00A663EF"/>
    <w:rsid w:val="00A66AE2"/>
    <w:rsid w:val="00A67EC6"/>
    <w:rsid w:val="00A74A6C"/>
    <w:rsid w:val="00A757F8"/>
    <w:rsid w:val="00A81450"/>
    <w:rsid w:val="00A8739E"/>
    <w:rsid w:val="00A87F54"/>
    <w:rsid w:val="00A9000A"/>
    <w:rsid w:val="00A90DCD"/>
    <w:rsid w:val="00A910BF"/>
    <w:rsid w:val="00A95E68"/>
    <w:rsid w:val="00A96322"/>
    <w:rsid w:val="00AA2538"/>
    <w:rsid w:val="00AA2721"/>
    <w:rsid w:val="00AA2A9D"/>
    <w:rsid w:val="00AA2FBE"/>
    <w:rsid w:val="00AA4ED4"/>
    <w:rsid w:val="00AA5EE2"/>
    <w:rsid w:val="00AA603E"/>
    <w:rsid w:val="00AA6440"/>
    <w:rsid w:val="00AA6804"/>
    <w:rsid w:val="00AA6D72"/>
    <w:rsid w:val="00AA7E24"/>
    <w:rsid w:val="00AB21FD"/>
    <w:rsid w:val="00AB3A85"/>
    <w:rsid w:val="00AB3AC3"/>
    <w:rsid w:val="00AB4ADE"/>
    <w:rsid w:val="00AB4CD4"/>
    <w:rsid w:val="00AB50CB"/>
    <w:rsid w:val="00AB5290"/>
    <w:rsid w:val="00AB66B4"/>
    <w:rsid w:val="00AB7848"/>
    <w:rsid w:val="00AC1CD0"/>
    <w:rsid w:val="00AC3A99"/>
    <w:rsid w:val="00AC433F"/>
    <w:rsid w:val="00AC4BC4"/>
    <w:rsid w:val="00AC5190"/>
    <w:rsid w:val="00AC51DB"/>
    <w:rsid w:val="00AC56EF"/>
    <w:rsid w:val="00AC760E"/>
    <w:rsid w:val="00AD2778"/>
    <w:rsid w:val="00AD2975"/>
    <w:rsid w:val="00AD3534"/>
    <w:rsid w:val="00AD5B36"/>
    <w:rsid w:val="00AD5BFB"/>
    <w:rsid w:val="00AD6019"/>
    <w:rsid w:val="00AD6F15"/>
    <w:rsid w:val="00AD7DB8"/>
    <w:rsid w:val="00AD7E7A"/>
    <w:rsid w:val="00AE0C57"/>
    <w:rsid w:val="00AE2E93"/>
    <w:rsid w:val="00AE2F41"/>
    <w:rsid w:val="00AF08FC"/>
    <w:rsid w:val="00AF0D35"/>
    <w:rsid w:val="00AF153F"/>
    <w:rsid w:val="00AF2D77"/>
    <w:rsid w:val="00AF325F"/>
    <w:rsid w:val="00AF37F1"/>
    <w:rsid w:val="00AF46B5"/>
    <w:rsid w:val="00AF615D"/>
    <w:rsid w:val="00B00CC9"/>
    <w:rsid w:val="00B01867"/>
    <w:rsid w:val="00B01BB6"/>
    <w:rsid w:val="00B05644"/>
    <w:rsid w:val="00B05CA2"/>
    <w:rsid w:val="00B07652"/>
    <w:rsid w:val="00B077DE"/>
    <w:rsid w:val="00B10A60"/>
    <w:rsid w:val="00B1295A"/>
    <w:rsid w:val="00B17945"/>
    <w:rsid w:val="00B21FBA"/>
    <w:rsid w:val="00B2274A"/>
    <w:rsid w:val="00B2576F"/>
    <w:rsid w:val="00B31A6A"/>
    <w:rsid w:val="00B34445"/>
    <w:rsid w:val="00B36270"/>
    <w:rsid w:val="00B3788F"/>
    <w:rsid w:val="00B402ED"/>
    <w:rsid w:val="00B41170"/>
    <w:rsid w:val="00B416B3"/>
    <w:rsid w:val="00B41B87"/>
    <w:rsid w:val="00B41D24"/>
    <w:rsid w:val="00B42E4C"/>
    <w:rsid w:val="00B42ED7"/>
    <w:rsid w:val="00B46677"/>
    <w:rsid w:val="00B46C87"/>
    <w:rsid w:val="00B51BC1"/>
    <w:rsid w:val="00B5391D"/>
    <w:rsid w:val="00B57136"/>
    <w:rsid w:val="00B62FE2"/>
    <w:rsid w:val="00B64014"/>
    <w:rsid w:val="00B64083"/>
    <w:rsid w:val="00B67E3A"/>
    <w:rsid w:val="00B70A20"/>
    <w:rsid w:val="00B71193"/>
    <w:rsid w:val="00B713CA"/>
    <w:rsid w:val="00B71783"/>
    <w:rsid w:val="00B752DF"/>
    <w:rsid w:val="00B75900"/>
    <w:rsid w:val="00B76077"/>
    <w:rsid w:val="00B770CC"/>
    <w:rsid w:val="00B83DF5"/>
    <w:rsid w:val="00B859BE"/>
    <w:rsid w:val="00B85A44"/>
    <w:rsid w:val="00B87061"/>
    <w:rsid w:val="00B87099"/>
    <w:rsid w:val="00B917E2"/>
    <w:rsid w:val="00B92946"/>
    <w:rsid w:val="00B92A4E"/>
    <w:rsid w:val="00B92D07"/>
    <w:rsid w:val="00B93166"/>
    <w:rsid w:val="00B97128"/>
    <w:rsid w:val="00B9754C"/>
    <w:rsid w:val="00BA27E4"/>
    <w:rsid w:val="00BA57E6"/>
    <w:rsid w:val="00BA5B18"/>
    <w:rsid w:val="00BA6BD3"/>
    <w:rsid w:val="00BB02C2"/>
    <w:rsid w:val="00BB08D1"/>
    <w:rsid w:val="00BB174E"/>
    <w:rsid w:val="00BB52C8"/>
    <w:rsid w:val="00BB7C3C"/>
    <w:rsid w:val="00BC0D25"/>
    <w:rsid w:val="00BC2AB5"/>
    <w:rsid w:val="00BC4D1A"/>
    <w:rsid w:val="00BC4E78"/>
    <w:rsid w:val="00BC4EBD"/>
    <w:rsid w:val="00BC7F18"/>
    <w:rsid w:val="00BD2C86"/>
    <w:rsid w:val="00BD3104"/>
    <w:rsid w:val="00BD31E4"/>
    <w:rsid w:val="00BD362F"/>
    <w:rsid w:val="00BD374D"/>
    <w:rsid w:val="00BE0437"/>
    <w:rsid w:val="00BE158F"/>
    <w:rsid w:val="00BE1748"/>
    <w:rsid w:val="00BE1CFA"/>
    <w:rsid w:val="00BE3DBB"/>
    <w:rsid w:val="00BE4220"/>
    <w:rsid w:val="00BE4DA0"/>
    <w:rsid w:val="00BE5800"/>
    <w:rsid w:val="00BE6150"/>
    <w:rsid w:val="00BE69F5"/>
    <w:rsid w:val="00BE7082"/>
    <w:rsid w:val="00BF0E75"/>
    <w:rsid w:val="00BF4006"/>
    <w:rsid w:val="00BF4C96"/>
    <w:rsid w:val="00C03F57"/>
    <w:rsid w:val="00C0527E"/>
    <w:rsid w:val="00C05E0B"/>
    <w:rsid w:val="00C065A6"/>
    <w:rsid w:val="00C113B0"/>
    <w:rsid w:val="00C11C88"/>
    <w:rsid w:val="00C11EB3"/>
    <w:rsid w:val="00C13B96"/>
    <w:rsid w:val="00C14BC4"/>
    <w:rsid w:val="00C17842"/>
    <w:rsid w:val="00C20757"/>
    <w:rsid w:val="00C23E57"/>
    <w:rsid w:val="00C2688E"/>
    <w:rsid w:val="00C277D0"/>
    <w:rsid w:val="00C310EE"/>
    <w:rsid w:val="00C330DC"/>
    <w:rsid w:val="00C37340"/>
    <w:rsid w:val="00C37835"/>
    <w:rsid w:val="00C37A54"/>
    <w:rsid w:val="00C400F4"/>
    <w:rsid w:val="00C41280"/>
    <w:rsid w:val="00C42EA5"/>
    <w:rsid w:val="00C42F31"/>
    <w:rsid w:val="00C45C6F"/>
    <w:rsid w:val="00C46129"/>
    <w:rsid w:val="00C46212"/>
    <w:rsid w:val="00C5208E"/>
    <w:rsid w:val="00C520A7"/>
    <w:rsid w:val="00C552F2"/>
    <w:rsid w:val="00C554A2"/>
    <w:rsid w:val="00C55667"/>
    <w:rsid w:val="00C55FD7"/>
    <w:rsid w:val="00C56180"/>
    <w:rsid w:val="00C5755D"/>
    <w:rsid w:val="00C70D2B"/>
    <w:rsid w:val="00C7165E"/>
    <w:rsid w:val="00C71685"/>
    <w:rsid w:val="00C769D0"/>
    <w:rsid w:val="00C7761F"/>
    <w:rsid w:val="00C80762"/>
    <w:rsid w:val="00C81DA9"/>
    <w:rsid w:val="00C82209"/>
    <w:rsid w:val="00C8689E"/>
    <w:rsid w:val="00C90093"/>
    <w:rsid w:val="00C901C0"/>
    <w:rsid w:val="00C90752"/>
    <w:rsid w:val="00C91DBD"/>
    <w:rsid w:val="00C927ED"/>
    <w:rsid w:val="00C92C58"/>
    <w:rsid w:val="00C97EAA"/>
    <w:rsid w:val="00CA03EC"/>
    <w:rsid w:val="00CA277A"/>
    <w:rsid w:val="00CA2C24"/>
    <w:rsid w:val="00CA7081"/>
    <w:rsid w:val="00CA71D8"/>
    <w:rsid w:val="00CA7EC8"/>
    <w:rsid w:val="00CB151F"/>
    <w:rsid w:val="00CB3510"/>
    <w:rsid w:val="00CB38A7"/>
    <w:rsid w:val="00CB5EB6"/>
    <w:rsid w:val="00CB7526"/>
    <w:rsid w:val="00CB7BD9"/>
    <w:rsid w:val="00CC110D"/>
    <w:rsid w:val="00CC44ED"/>
    <w:rsid w:val="00CC45C8"/>
    <w:rsid w:val="00CC5797"/>
    <w:rsid w:val="00CD070E"/>
    <w:rsid w:val="00CD35C6"/>
    <w:rsid w:val="00CD3C18"/>
    <w:rsid w:val="00CD41D9"/>
    <w:rsid w:val="00CE0C62"/>
    <w:rsid w:val="00CE3BCD"/>
    <w:rsid w:val="00CE4AFE"/>
    <w:rsid w:val="00CF0D07"/>
    <w:rsid w:val="00CF3139"/>
    <w:rsid w:val="00CF43B5"/>
    <w:rsid w:val="00CF64BA"/>
    <w:rsid w:val="00CF750E"/>
    <w:rsid w:val="00D00B00"/>
    <w:rsid w:val="00D02CAF"/>
    <w:rsid w:val="00D033DB"/>
    <w:rsid w:val="00D0359F"/>
    <w:rsid w:val="00D04722"/>
    <w:rsid w:val="00D05A01"/>
    <w:rsid w:val="00D07CA1"/>
    <w:rsid w:val="00D11D5A"/>
    <w:rsid w:val="00D144EB"/>
    <w:rsid w:val="00D225A9"/>
    <w:rsid w:val="00D241C8"/>
    <w:rsid w:val="00D26C58"/>
    <w:rsid w:val="00D26D5D"/>
    <w:rsid w:val="00D27E77"/>
    <w:rsid w:val="00D308D4"/>
    <w:rsid w:val="00D3194A"/>
    <w:rsid w:val="00D32728"/>
    <w:rsid w:val="00D330F9"/>
    <w:rsid w:val="00D3542D"/>
    <w:rsid w:val="00D406D4"/>
    <w:rsid w:val="00D4607F"/>
    <w:rsid w:val="00D46FC7"/>
    <w:rsid w:val="00D513AD"/>
    <w:rsid w:val="00D54ACE"/>
    <w:rsid w:val="00D54BB2"/>
    <w:rsid w:val="00D55777"/>
    <w:rsid w:val="00D607F6"/>
    <w:rsid w:val="00D61D39"/>
    <w:rsid w:val="00D6215B"/>
    <w:rsid w:val="00D62825"/>
    <w:rsid w:val="00D62947"/>
    <w:rsid w:val="00D630C8"/>
    <w:rsid w:val="00D635CF"/>
    <w:rsid w:val="00D63826"/>
    <w:rsid w:val="00D647B9"/>
    <w:rsid w:val="00D64880"/>
    <w:rsid w:val="00D65ECB"/>
    <w:rsid w:val="00D70343"/>
    <w:rsid w:val="00D72013"/>
    <w:rsid w:val="00D73360"/>
    <w:rsid w:val="00D76C8B"/>
    <w:rsid w:val="00D801CE"/>
    <w:rsid w:val="00D80DF1"/>
    <w:rsid w:val="00D8404A"/>
    <w:rsid w:val="00D8760D"/>
    <w:rsid w:val="00D90023"/>
    <w:rsid w:val="00D918C7"/>
    <w:rsid w:val="00D94E13"/>
    <w:rsid w:val="00D9528E"/>
    <w:rsid w:val="00D961D4"/>
    <w:rsid w:val="00D967B1"/>
    <w:rsid w:val="00D97A72"/>
    <w:rsid w:val="00DA0AD7"/>
    <w:rsid w:val="00DA14B8"/>
    <w:rsid w:val="00DA1ED2"/>
    <w:rsid w:val="00DA5910"/>
    <w:rsid w:val="00DA7709"/>
    <w:rsid w:val="00DB0BD9"/>
    <w:rsid w:val="00DB0C03"/>
    <w:rsid w:val="00DB21DB"/>
    <w:rsid w:val="00DB2FCB"/>
    <w:rsid w:val="00DB578B"/>
    <w:rsid w:val="00DB5828"/>
    <w:rsid w:val="00DB697B"/>
    <w:rsid w:val="00DC24C6"/>
    <w:rsid w:val="00DC479F"/>
    <w:rsid w:val="00DC6169"/>
    <w:rsid w:val="00DD1B58"/>
    <w:rsid w:val="00DD24A6"/>
    <w:rsid w:val="00DD29CB"/>
    <w:rsid w:val="00DD37DB"/>
    <w:rsid w:val="00DD3DBD"/>
    <w:rsid w:val="00DD4248"/>
    <w:rsid w:val="00DD433C"/>
    <w:rsid w:val="00DD4492"/>
    <w:rsid w:val="00DD4912"/>
    <w:rsid w:val="00DD49DC"/>
    <w:rsid w:val="00DE0152"/>
    <w:rsid w:val="00DE1422"/>
    <w:rsid w:val="00DE142D"/>
    <w:rsid w:val="00DE21C0"/>
    <w:rsid w:val="00DE2A0E"/>
    <w:rsid w:val="00DE31F3"/>
    <w:rsid w:val="00DE347B"/>
    <w:rsid w:val="00DE56B0"/>
    <w:rsid w:val="00DE60A9"/>
    <w:rsid w:val="00DF038D"/>
    <w:rsid w:val="00DF068B"/>
    <w:rsid w:val="00DF364D"/>
    <w:rsid w:val="00DF3736"/>
    <w:rsid w:val="00DF4566"/>
    <w:rsid w:val="00DF4867"/>
    <w:rsid w:val="00DF4913"/>
    <w:rsid w:val="00DF52D7"/>
    <w:rsid w:val="00E00D84"/>
    <w:rsid w:val="00E010FD"/>
    <w:rsid w:val="00E02A4C"/>
    <w:rsid w:val="00E02B98"/>
    <w:rsid w:val="00E0315B"/>
    <w:rsid w:val="00E03455"/>
    <w:rsid w:val="00E037BD"/>
    <w:rsid w:val="00E04A8D"/>
    <w:rsid w:val="00E055A4"/>
    <w:rsid w:val="00E07CCD"/>
    <w:rsid w:val="00E07F72"/>
    <w:rsid w:val="00E1112C"/>
    <w:rsid w:val="00E116B5"/>
    <w:rsid w:val="00E13E6A"/>
    <w:rsid w:val="00E14F52"/>
    <w:rsid w:val="00E15756"/>
    <w:rsid w:val="00E163C0"/>
    <w:rsid w:val="00E16F58"/>
    <w:rsid w:val="00E20B96"/>
    <w:rsid w:val="00E22626"/>
    <w:rsid w:val="00E22FC2"/>
    <w:rsid w:val="00E2357D"/>
    <w:rsid w:val="00E23D71"/>
    <w:rsid w:val="00E2420A"/>
    <w:rsid w:val="00E25D73"/>
    <w:rsid w:val="00E27328"/>
    <w:rsid w:val="00E30715"/>
    <w:rsid w:val="00E30DB7"/>
    <w:rsid w:val="00E30EEE"/>
    <w:rsid w:val="00E317A6"/>
    <w:rsid w:val="00E318D2"/>
    <w:rsid w:val="00E32768"/>
    <w:rsid w:val="00E34EAC"/>
    <w:rsid w:val="00E369A1"/>
    <w:rsid w:val="00E36AA8"/>
    <w:rsid w:val="00E37A41"/>
    <w:rsid w:val="00E41113"/>
    <w:rsid w:val="00E41940"/>
    <w:rsid w:val="00E422DA"/>
    <w:rsid w:val="00E4271B"/>
    <w:rsid w:val="00E433B8"/>
    <w:rsid w:val="00E43929"/>
    <w:rsid w:val="00E44898"/>
    <w:rsid w:val="00E44943"/>
    <w:rsid w:val="00E46713"/>
    <w:rsid w:val="00E533F5"/>
    <w:rsid w:val="00E53ECF"/>
    <w:rsid w:val="00E57CBD"/>
    <w:rsid w:val="00E60A7F"/>
    <w:rsid w:val="00E61A53"/>
    <w:rsid w:val="00E61B3E"/>
    <w:rsid w:val="00E625EC"/>
    <w:rsid w:val="00E626B2"/>
    <w:rsid w:val="00E6440E"/>
    <w:rsid w:val="00E65FBD"/>
    <w:rsid w:val="00E6661A"/>
    <w:rsid w:val="00E70204"/>
    <w:rsid w:val="00E70629"/>
    <w:rsid w:val="00E759F7"/>
    <w:rsid w:val="00E7702F"/>
    <w:rsid w:val="00E771CF"/>
    <w:rsid w:val="00E809B2"/>
    <w:rsid w:val="00E81FB3"/>
    <w:rsid w:val="00E8354F"/>
    <w:rsid w:val="00E84328"/>
    <w:rsid w:val="00E84B4B"/>
    <w:rsid w:val="00E85FFD"/>
    <w:rsid w:val="00E9095D"/>
    <w:rsid w:val="00E918D2"/>
    <w:rsid w:val="00E92472"/>
    <w:rsid w:val="00E943FA"/>
    <w:rsid w:val="00E94C9A"/>
    <w:rsid w:val="00E96695"/>
    <w:rsid w:val="00EA29DF"/>
    <w:rsid w:val="00EA4528"/>
    <w:rsid w:val="00EA6BFD"/>
    <w:rsid w:val="00EB5AAE"/>
    <w:rsid w:val="00EB5F7E"/>
    <w:rsid w:val="00EB62C0"/>
    <w:rsid w:val="00EB633A"/>
    <w:rsid w:val="00EC0FD6"/>
    <w:rsid w:val="00EC232D"/>
    <w:rsid w:val="00EC5363"/>
    <w:rsid w:val="00EC5D60"/>
    <w:rsid w:val="00EC74C5"/>
    <w:rsid w:val="00ED2CFB"/>
    <w:rsid w:val="00ED36BC"/>
    <w:rsid w:val="00ED5F2D"/>
    <w:rsid w:val="00ED6A92"/>
    <w:rsid w:val="00EE166A"/>
    <w:rsid w:val="00EE2BC5"/>
    <w:rsid w:val="00EE2D4F"/>
    <w:rsid w:val="00EE34B7"/>
    <w:rsid w:val="00EE57A6"/>
    <w:rsid w:val="00EF5D22"/>
    <w:rsid w:val="00EF5E14"/>
    <w:rsid w:val="00EF6275"/>
    <w:rsid w:val="00EF656D"/>
    <w:rsid w:val="00EF67A1"/>
    <w:rsid w:val="00EF6EC9"/>
    <w:rsid w:val="00EF703A"/>
    <w:rsid w:val="00F00152"/>
    <w:rsid w:val="00F024CB"/>
    <w:rsid w:val="00F03B31"/>
    <w:rsid w:val="00F04C5C"/>
    <w:rsid w:val="00F07FDF"/>
    <w:rsid w:val="00F12D3B"/>
    <w:rsid w:val="00F15883"/>
    <w:rsid w:val="00F16BBA"/>
    <w:rsid w:val="00F177D2"/>
    <w:rsid w:val="00F17B30"/>
    <w:rsid w:val="00F20BC1"/>
    <w:rsid w:val="00F2220A"/>
    <w:rsid w:val="00F223C3"/>
    <w:rsid w:val="00F2336A"/>
    <w:rsid w:val="00F26110"/>
    <w:rsid w:val="00F31BD2"/>
    <w:rsid w:val="00F33583"/>
    <w:rsid w:val="00F34A6C"/>
    <w:rsid w:val="00F36311"/>
    <w:rsid w:val="00F377E9"/>
    <w:rsid w:val="00F4010A"/>
    <w:rsid w:val="00F408EA"/>
    <w:rsid w:val="00F40C2A"/>
    <w:rsid w:val="00F4181B"/>
    <w:rsid w:val="00F44BE6"/>
    <w:rsid w:val="00F44EF8"/>
    <w:rsid w:val="00F50FBA"/>
    <w:rsid w:val="00F5102E"/>
    <w:rsid w:val="00F51AF4"/>
    <w:rsid w:val="00F51C33"/>
    <w:rsid w:val="00F52546"/>
    <w:rsid w:val="00F52C6B"/>
    <w:rsid w:val="00F54E3F"/>
    <w:rsid w:val="00F56043"/>
    <w:rsid w:val="00F56D86"/>
    <w:rsid w:val="00F57AFF"/>
    <w:rsid w:val="00F61DBC"/>
    <w:rsid w:val="00F63D23"/>
    <w:rsid w:val="00F63E47"/>
    <w:rsid w:val="00F641D6"/>
    <w:rsid w:val="00F654D5"/>
    <w:rsid w:val="00F6676C"/>
    <w:rsid w:val="00F67667"/>
    <w:rsid w:val="00F67E80"/>
    <w:rsid w:val="00F70866"/>
    <w:rsid w:val="00F74471"/>
    <w:rsid w:val="00F744BE"/>
    <w:rsid w:val="00F750C5"/>
    <w:rsid w:val="00F75FBA"/>
    <w:rsid w:val="00F75FC8"/>
    <w:rsid w:val="00F76783"/>
    <w:rsid w:val="00F76EDC"/>
    <w:rsid w:val="00F77453"/>
    <w:rsid w:val="00F84EF8"/>
    <w:rsid w:val="00F85A78"/>
    <w:rsid w:val="00F878B1"/>
    <w:rsid w:val="00F90893"/>
    <w:rsid w:val="00F90BE5"/>
    <w:rsid w:val="00F90C15"/>
    <w:rsid w:val="00F91C63"/>
    <w:rsid w:val="00F9443F"/>
    <w:rsid w:val="00F97D51"/>
    <w:rsid w:val="00FA117B"/>
    <w:rsid w:val="00FA20E3"/>
    <w:rsid w:val="00FA6407"/>
    <w:rsid w:val="00FA72F2"/>
    <w:rsid w:val="00FA7C8B"/>
    <w:rsid w:val="00FB128B"/>
    <w:rsid w:val="00FB1EAD"/>
    <w:rsid w:val="00FB2E62"/>
    <w:rsid w:val="00FB3902"/>
    <w:rsid w:val="00FB60CE"/>
    <w:rsid w:val="00FB6398"/>
    <w:rsid w:val="00FB6A8E"/>
    <w:rsid w:val="00FC042E"/>
    <w:rsid w:val="00FC061D"/>
    <w:rsid w:val="00FC0EF3"/>
    <w:rsid w:val="00FC3204"/>
    <w:rsid w:val="00FC33B5"/>
    <w:rsid w:val="00FC3BD1"/>
    <w:rsid w:val="00FC7916"/>
    <w:rsid w:val="00FD1E79"/>
    <w:rsid w:val="00FD2AFE"/>
    <w:rsid w:val="00FD66E2"/>
    <w:rsid w:val="00FE08DC"/>
    <w:rsid w:val="00FE324F"/>
    <w:rsid w:val="00FE5DF3"/>
    <w:rsid w:val="00FE7085"/>
    <w:rsid w:val="00FF3BB9"/>
    <w:rsid w:val="00FF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34"/>
    <w:locked/>
    <w:rsid w:val="001B022D"/>
    <w:rPr>
      <w:rFonts w:ascii="Calibri" w:hAnsi="Calibri"/>
      <w:sz w:val="22"/>
      <w:szCs w:val="22"/>
      <w:lang w:eastAsia="en-US"/>
    </w:rPr>
  </w:style>
  <w:style w:type="paragraph" w:customStyle="1" w:styleId="Default">
    <w:name w:val="Default"/>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Definition"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0B2"/>
    <w:pPr>
      <w:tabs>
        <w:tab w:val="left" w:pos="720"/>
        <w:tab w:val="left" w:pos="1440"/>
        <w:tab w:val="left" w:pos="2160"/>
        <w:tab w:val="left" w:pos="2880"/>
        <w:tab w:val="left" w:pos="3600"/>
        <w:tab w:val="left" w:pos="4320"/>
        <w:tab w:val="left" w:pos="5040"/>
      </w:tabs>
    </w:pPr>
    <w:rPr>
      <w:rFonts w:ascii="Arial" w:hAnsi="Arial"/>
      <w:lang w:eastAsia="en-US"/>
    </w:rPr>
  </w:style>
  <w:style w:type="paragraph" w:styleId="Heading1">
    <w:name w:val="heading 1"/>
    <w:basedOn w:val="Normal"/>
    <w:next w:val="Normal"/>
    <w:link w:val="Heading1Char"/>
    <w:qFormat/>
    <w:rsid w:val="008A7BFA"/>
    <w:pPr>
      <w:keepNext/>
      <w:keepLines/>
      <w:numPr>
        <w:ilvl w:val="1"/>
        <w:numId w:val="4"/>
      </w:numPr>
      <w:tabs>
        <w:tab w:val="clear" w:pos="720"/>
        <w:tab w:val="clear" w:pos="1440"/>
        <w:tab w:val="clear" w:pos="2160"/>
        <w:tab w:val="clear" w:pos="2880"/>
        <w:tab w:val="clear" w:pos="3600"/>
        <w:tab w:val="clear" w:pos="4320"/>
        <w:tab w:val="clear" w:pos="5040"/>
        <w:tab w:val="left" w:pos="709"/>
      </w:tabs>
      <w:spacing w:after="120" w:line="276" w:lineRule="auto"/>
      <w:ind w:left="709" w:hanging="709"/>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1B022D"/>
    <w:pPr>
      <w:keepNext/>
      <w:tabs>
        <w:tab w:val="clear" w:pos="5040"/>
      </w:tabs>
      <w:spacing w:before="60" w:after="60"/>
      <w:ind w:left="1440" w:right="-514" w:hanging="1440"/>
      <w:jc w:val="center"/>
      <w:outlineLvl w:val="1"/>
    </w:pPr>
    <w:rPr>
      <w:rFonts w:cs="Arial"/>
      <w:b/>
    </w:rPr>
  </w:style>
  <w:style w:type="paragraph" w:styleId="Heading3">
    <w:name w:val="heading 3"/>
    <w:basedOn w:val="Normal"/>
    <w:next w:val="Normal"/>
    <w:link w:val="Heading3Char"/>
    <w:semiHidden/>
    <w:unhideWhenUsed/>
    <w:qFormat/>
    <w:rsid w:val="003753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022D"/>
    <w:pPr>
      <w:keepNext/>
      <w:tabs>
        <w:tab w:val="clear" w:pos="5040"/>
      </w:tabs>
      <w:ind w:left="1440" w:right="-514" w:hanging="1440"/>
      <w:outlineLvl w:val="3"/>
    </w:pPr>
    <w:rPr>
      <w:rFonts w:cs="Arial"/>
      <w:b/>
      <w:bCs/>
    </w:rPr>
  </w:style>
  <w:style w:type="paragraph" w:styleId="Heading6">
    <w:name w:val="heading 6"/>
    <w:basedOn w:val="Normal"/>
    <w:next w:val="Normal"/>
    <w:link w:val="Heading6Char"/>
    <w:qFormat/>
    <w:rsid w:val="001B022D"/>
    <w:pPr>
      <w:keepNext/>
      <w:tabs>
        <w:tab w:val="clear" w:pos="720"/>
        <w:tab w:val="clear" w:pos="1440"/>
        <w:tab w:val="clear" w:pos="2160"/>
        <w:tab w:val="clear" w:pos="2880"/>
        <w:tab w:val="clear" w:pos="3600"/>
        <w:tab w:val="clear" w:pos="4320"/>
        <w:tab w:val="clear" w:pos="5040"/>
      </w:tabs>
      <w:spacing w:before="40" w:after="40"/>
      <w:ind w:firstLine="12"/>
      <w:jc w:val="center"/>
      <w:outlineLvl w:val="5"/>
    </w:pPr>
    <w:rPr>
      <w:rFonts w:cs="Arial"/>
      <w:b/>
    </w:rPr>
  </w:style>
  <w:style w:type="paragraph" w:styleId="Heading7">
    <w:name w:val="heading 7"/>
    <w:basedOn w:val="Normal"/>
    <w:next w:val="Normal"/>
    <w:link w:val="Heading7Char"/>
    <w:qFormat/>
    <w:rsid w:val="001B022D"/>
    <w:pPr>
      <w:keepNext/>
      <w:tabs>
        <w:tab w:val="clear" w:pos="720"/>
        <w:tab w:val="clear" w:pos="1440"/>
        <w:tab w:val="clear" w:pos="2160"/>
        <w:tab w:val="clear" w:pos="2880"/>
        <w:tab w:val="clear" w:pos="3600"/>
        <w:tab w:val="clear" w:pos="4320"/>
        <w:tab w:val="clear" w:pos="5040"/>
      </w:tabs>
      <w:spacing w:before="60" w:after="60"/>
      <w:ind w:left="-18" w:right="-18" w:hanging="18"/>
      <w:jc w:val="center"/>
      <w:outlineLvl w:val="6"/>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clear" w:pos="720"/>
        <w:tab w:val="clear" w:pos="1440"/>
        <w:tab w:val="clear" w:pos="2160"/>
        <w:tab w:val="clear" w:pos="2880"/>
        <w:tab w:val="clear" w:pos="3600"/>
        <w:tab w:val="clear" w:pos="4320"/>
        <w:tab w:val="clear" w:pos="5040"/>
      </w:tabs>
    </w:pPr>
  </w:style>
  <w:style w:type="paragraph" w:styleId="Header">
    <w:name w:val="header"/>
    <w:basedOn w:val="Normal"/>
    <w:link w:val="HeaderChar"/>
    <w:pPr>
      <w:tabs>
        <w:tab w:val="clear" w:pos="720"/>
        <w:tab w:val="clear" w:pos="1440"/>
        <w:tab w:val="clear" w:pos="2160"/>
        <w:tab w:val="clear" w:pos="2880"/>
        <w:tab w:val="clear" w:pos="3600"/>
        <w:tab w:val="clear" w:pos="4320"/>
        <w:tab w:val="clear" w:pos="5040"/>
        <w:tab w:val="center" w:pos="4153"/>
        <w:tab w:val="right" w:pos="8306"/>
      </w:tabs>
    </w:pPr>
  </w:style>
  <w:style w:type="paragraph" w:styleId="Footer">
    <w:name w:val="footer"/>
    <w:basedOn w:val="Normal"/>
    <w:link w:val="FooterChar"/>
    <w:uiPriority w:val="99"/>
    <w:pPr>
      <w:tabs>
        <w:tab w:val="clear" w:pos="720"/>
        <w:tab w:val="clear" w:pos="1440"/>
        <w:tab w:val="clear" w:pos="2160"/>
        <w:tab w:val="clear" w:pos="2880"/>
        <w:tab w:val="clear" w:pos="3600"/>
        <w:tab w:val="clear" w:pos="4320"/>
        <w:tab w:val="clear" w:pos="5040"/>
        <w:tab w:val="center" w:pos="4153"/>
        <w:tab w:val="right" w:pos="8306"/>
      </w:tabs>
    </w:pPr>
  </w:style>
  <w:style w:type="character" w:styleId="Hyperlink">
    <w:name w:val="Hyperlink"/>
    <w:rsid w:val="00467AF1"/>
    <w:rPr>
      <w:color w:val="0000FF"/>
      <w:u w:val="single"/>
    </w:rPr>
  </w:style>
  <w:style w:type="character" w:styleId="Strong">
    <w:name w:val="Strong"/>
    <w:uiPriority w:val="22"/>
    <w:qFormat/>
    <w:rsid w:val="00F26110"/>
    <w:rPr>
      <w:b/>
      <w:bCs/>
    </w:rPr>
  </w:style>
  <w:style w:type="paragraph" w:styleId="BalloonText">
    <w:name w:val="Balloon Text"/>
    <w:basedOn w:val="Normal"/>
    <w:link w:val="BalloonTextChar"/>
    <w:rsid w:val="003E68EA"/>
    <w:rPr>
      <w:rFonts w:ascii="Tahoma" w:hAnsi="Tahoma" w:cs="Tahoma"/>
      <w:sz w:val="16"/>
      <w:szCs w:val="16"/>
    </w:rPr>
  </w:style>
  <w:style w:type="character" w:customStyle="1" w:styleId="BalloonTextChar">
    <w:name w:val="Balloon Text Char"/>
    <w:basedOn w:val="DefaultParagraphFont"/>
    <w:link w:val="BalloonText"/>
    <w:rsid w:val="003E68EA"/>
    <w:rPr>
      <w:rFonts w:ascii="Tahoma" w:hAnsi="Tahoma" w:cs="Tahoma"/>
      <w:sz w:val="16"/>
      <w:szCs w:val="16"/>
      <w:lang w:eastAsia="en-US"/>
    </w:rPr>
  </w:style>
  <w:style w:type="character" w:customStyle="1" w:styleId="Heading2Char">
    <w:name w:val="Heading 2 Char"/>
    <w:basedOn w:val="DefaultParagraphFont"/>
    <w:link w:val="Heading2"/>
    <w:rsid w:val="001B022D"/>
    <w:rPr>
      <w:rFonts w:ascii="Arial" w:hAnsi="Arial" w:cs="Arial"/>
      <w:b/>
      <w:lang w:eastAsia="en-US"/>
    </w:rPr>
  </w:style>
  <w:style w:type="character" w:customStyle="1" w:styleId="Heading4Char">
    <w:name w:val="Heading 4 Char"/>
    <w:basedOn w:val="DefaultParagraphFont"/>
    <w:link w:val="Heading4"/>
    <w:rsid w:val="001B022D"/>
    <w:rPr>
      <w:rFonts w:ascii="Arial" w:hAnsi="Arial" w:cs="Arial"/>
      <w:b/>
      <w:bCs/>
      <w:lang w:eastAsia="en-US"/>
    </w:rPr>
  </w:style>
  <w:style w:type="character" w:customStyle="1" w:styleId="Heading6Char">
    <w:name w:val="Heading 6 Char"/>
    <w:basedOn w:val="DefaultParagraphFont"/>
    <w:link w:val="Heading6"/>
    <w:rsid w:val="001B022D"/>
    <w:rPr>
      <w:rFonts w:ascii="Arial" w:hAnsi="Arial" w:cs="Arial"/>
      <w:b/>
      <w:lang w:eastAsia="en-US"/>
    </w:rPr>
  </w:style>
  <w:style w:type="character" w:customStyle="1" w:styleId="Heading7Char">
    <w:name w:val="Heading 7 Char"/>
    <w:basedOn w:val="DefaultParagraphFont"/>
    <w:link w:val="Heading7"/>
    <w:rsid w:val="001B022D"/>
    <w:rPr>
      <w:rFonts w:ascii="Arial" w:hAnsi="Arial" w:cs="Arial"/>
      <w:b/>
      <w:lang w:eastAsia="en-US"/>
    </w:rPr>
  </w:style>
  <w:style w:type="character" w:customStyle="1" w:styleId="HeaderChar">
    <w:name w:val="Header Char"/>
    <w:basedOn w:val="DefaultParagraphFont"/>
    <w:link w:val="Header"/>
    <w:rsid w:val="001B022D"/>
    <w:rPr>
      <w:rFonts w:ascii="Arial" w:hAnsi="Arial"/>
      <w:lang w:eastAsia="en-US"/>
    </w:rPr>
  </w:style>
  <w:style w:type="character" w:customStyle="1" w:styleId="FooterChar">
    <w:name w:val="Footer Char"/>
    <w:basedOn w:val="DefaultParagraphFont"/>
    <w:link w:val="Footer"/>
    <w:uiPriority w:val="99"/>
    <w:rsid w:val="001B022D"/>
    <w:rPr>
      <w:rFonts w:ascii="Arial" w:hAnsi="Arial"/>
      <w:lang w:eastAsia="en-US"/>
    </w:rPr>
  </w:style>
  <w:style w:type="paragraph" w:customStyle="1" w:styleId="BodyAgenda">
    <w:name w:val="BodyAgenda"/>
    <w:basedOn w:val="Normal"/>
    <w:rsid w:val="001B022D"/>
    <w:pPr>
      <w:tabs>
        <w:tab w:val="decimal" w:pos="360"/>
        <w:tab w:val="left" w:pos="5760"/>
        <w:tab w:val="left" w:pos="6480"/>
        <w:tab w:val="left" w:pos="7200"/>
        <w:tab w:val="left" w:pos="7920"/>
        <w:tab w:val="left" w:pos="8640"/>
      </w:tabs>
      <w:spacing w:before="240"/>
      <w:ind w:left="720" w:hanging="720"/>
    </w:pPr>
    <w:rPr>
      <w:rFonts w:ascii="Helv" w:hAnsi="Helv"/>
    </w:rPr>
  </w:style>
  <w:style w:type="paragraph" w:styleId="BodyText3">
    <w:name w:val="Body Text 3"/>
    <w:basedOn w:val="Normal"/>
    <w:link w:val="BodyText3Char"/>
    <w:rsid w:val="001B022D"/>
    <w:rPr>
      <w:rFonts w:ascii="Bookman Old Style" w:hAnsi="Bookman Old Style"/>
      <w:b/>
      <w:bCs/>
    </w:rPr>
  </w:style>
  <w:style w:type="character" w:customStyle="1" w:styleId="BodyText3Char">
    <w:name w:val="Body Text 3 Char"/>
    <w:basedOn w:val="DefaultParagraphFont"/>
    <w:link w:val="BodyText3"/>
    <w:rsid w:val="001B022D"/>
    <w:rPr>
      <w:rFonts w:ascii="Bookman Old Style" w:hAnsi="Bookman Old Style"/>
      <w:b/>
      <w:bCs/>
      <w:lang w:eastAsia="en-US"/>
    </w:rPr>
  </w:style>
  <w:style w:type="paragraph" w:styleId="ListParagraph">
    <w:name w:val="List Paragraph"/>
    <w:basedOn w:val="Normal"/>
    <w:link w:val="ListParagraphChar"/>
    <w:uiPriority w:val="34"/>
    <w:qFormat/>
    <w:rsid w:val="001B022D"/>
    <w:pPr>
      <w:tabs>
        <w:tab w:val="clear" w:pos="720"/>
        <w:tab w:val="clear" w:pos="1440"/>
        <w:tab w:val="clear" w:pos="2160"/>
        <w:tab w:val="clear" w:pos="2880"/>
        <w:tab w:val="clear" w:pos="3600"/>
        <w:tab w:val="clear" w:pos="4320"/>
        <w:tab w:val="clear" w:pos="5040"/>
      </w:tabs>
      <w:spacing w:after="200" w:line="276" w:lineRule="auto"/>
      <w:ind w:left="720"/>
      <w:contextualSpacing/>
    </w:pPr>
    <w:rPr>
      <w:rFonts w:ascii="Calibri" w:hAnsi="Calibri"/>
      <w:sz w:val="22"/>
      <w:szCs w:val="22"/>
    </w:rPr>
  </w:style>
  <w:style w:type="paragraph" w:styleId="Title">
    <w:name w:val="Title"/>
    <w:basedOn w:val="Normal"/>
    <w:link w:val="TitleChar"/>
    <w:qFormat/>
    <w:rsid w:val="001B022D"/>
    <w:pPr>
      <w:jc w:val="center"/>
    </w:pPr>
    <w:rPr>
      <w:u w:val="single"/>
    </w:rPr>
  </w:style>
  <w:style w:type="character" w:customStyle="1" w:styleId="TitleChar">
    <w:name w:val="Title Char"/>
    <w:basedOn w:val="DefaultParagraphFont"/>
    <w:link w:val="Title"/>
    <w:rsid w:val="001B022D"/>
    <w:rPr>
      <w:rFonts w:ascii="Arial" w:hAnsi="Arial"/>
      <w:u w:val="single"/>
      <w:lang w:eastAsia="en-US"/>
    </w:rPr>
  </w:style>
  <w:style w:type="character" w:customStyle="1" w:styleId="ListParagraphChar">
    <w:name w:val="List Paragraph Char"/>
    <w:link w:val="ListParagraph"/>
    <w:uiPriority w:val="34"/>
    <w:locked/>
    <w:rsid w:val="001B022D"/>
    <w:rPr>
      <w:rFonts w:ascii="Calibri" w:hAnsi="Calibri"/>
      <w:sz w:val="22"/>
      <w:szCs w:val="22"/>
      <w:lang w:eastAsia="en-US"/>
    </w:rPr>
  </w:style>
  <w:style w:type="paragraph" w:customStyle="1" w:styleId="Default">
    <w:name w:val="Default"/>
    <w:rsid w:val="001B022D"/>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1B022D"/>
    <w:pPr>
      <w:spacing w:after="120"/>
      <w:ind w:left="283"/>
    </w:pPr>
  </w:style>
  <w:style w:type="character" w:customStyle="1" w:styleId="BodyTextIndentChar">
    <w:name w:val="Body Text Indent Char"/>
    <w:basedOn w:val="DefaultParagraphFont"/>
    <w:link w:val="BodyTextIndent"/>
    <w:rsid w:val="001B022D"/>
    <w:rPr>
      <w:rFonts w:ascii="Arial" w:hAnsi="Arial"/>
      <w:lang w:eastAsia="en-US"/>
    </w:rPr>
  </w:style>
  <w:style w:type="paragraph" w:styleId="BodyText">
    <w:name w:val="Body Text"/>
    <w:basedOn w:val="Normal"/>
    <w:link w:val="BodyTextChar"/>
    <w:uiPriority w:val="1"/>
    <w:qFormat/>
    <w:rsid w:val="001B022D"/>
    <w:pPr>
      <w:spacing w:after="120"/>
    </w:pPr>
  </w:style>
  <w:style w:type="character" w:customStyle="1" w:styleId="BodyTextChar">
    <w:name w:val="Body Text Char"/>
    <w:basedOn w:val="DefaultParagraphFont"/>
    <w:link w:val="BodyText"/>
    <w:uiPriority w:val="1"/>
    <w:rsid w:val="001B022D"/>
    <w:rPr>
      <w:rFonts w:ascii="Arial" w:hAnsi="Arial"/>
      <w:lang w:eastAsia="en-US"/>
    </w:rPr>
  </w:style>
  <w:style w:type="table" w:styleId="TableGrid">
    <w:name w:val="Table Grid"/>
    <w:basedOn w:val="TableNormal"/>
    <w:rsid w:val="001B022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senrhsennumparatext">
    <w:name w:val="ends enrhs ennumparatext"/>
    <w:basedOn w:val="DefaultParagraphFont"/>
    <w:rsid w:val="00872B37"/>
  </w:style>
  <w:style w:type="paragraph" w:styleId="FootnoteText">
    <w:name w:val="footnote text"/>
    <w:basedOn w:val="Normal"/>
    <w:link w:val="FootnoteTextChar"/>
    <w:unhideWhenUsed/>
    <w:rsid w:val="00E4271B"/>
    <w:pPr>
      <w:tabs>
        <w:tab w:val="clear" w:pos="720"/>
        <w:tab w:val="clear" w:pos="1440"/>
        <w:tab w:val="clear" w:pos="2160"/>
        <w:tab w:val="clear" w:pos="2880"/>
        <w:tab w:val="clear" w:pos="3600"/>
        <w:tab w:val="clear" w:pos="4320"/>
        <w:tab w:val="clear" w:pos="5040"/>
      </w:tabs>
    </w:pPr>
    <w:rPr>
      <w:rFonts w:asciiTheme="minorHAnsi" w:eastAsiaTheme="minorHAnsi" w:hAnsiTheme="minorHAnsi" w:cstheme="minorBidi"/>
    </w:rPr>
  </w:style>
  <w:style w:type="character" w:customStyle="1" w:styleId="FootnoteTextChar">
    <w:name w:val="Footnote Text Char"/>
    <w:basedOn w:val="DefaultParagraphFont"/>
    <w:link w:val="FootnoteText"/>
    <w:rsid w:val="00E4271B"/>
    <w:rPr>
      <w:rFonts w:asciiTheme="minorHAnsi" w:eastAsiaTheme="minorHAnsi" w:hAnsiTheme="minorHAnsi" w:cstheme="minorBidi"/>
      <w:lang w:eastAsia="en-US"/>
    </w:rPr>
  </w:style>
  <w:style w:type="character" w:styleId="FootnoteReference">
    <w:name w:val="footnote reference"/>
    <w:basedOn w:val="DefaultParagraphFont"/>
    <w:unhideWhenUsed/>
    <w:rsid w:val="00E4271B"/>
    <w:rPr>
      <w:vertAlign w:val="superscript"/>
    </w:rPr>
  </w:style>
  <w:style w:type="paragraph" w:styleId="NormalWeb">
    <w:name w:val="Normal (Web)"/>
    <w:basedOn w:val="Normal"/>
    <w:uiPriority w:val="99"/>
    <w:unhideWhenUsed/>
    <w:rsid w:val="009F5916"/>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styleId="BodyTextIndent2">
    <w:name w:val="Body Text Indent 2"/>
    <w:basedOn w:val="Normal"/>
    <w:link w:val="BodyTextIndent2Char"/>
    <w:unhideWhenUsed/>
    <w:rsid w:val="00CE4AFE"/>
    <w:pPr>
      <w:spacing w:after="120" w:line="480" w:lineRule="auto"/>
      <w:ind w:left="283"/>
    </w:pPr>
  </w:style>
  <w:style w:type="character" w:customStyle="1" w:styleId="BodyTextIndent2Char">
    <w:name w:val="Body Text Indent 2 Char"/>
    <w:basedOn w:val="DefaultParagraphFont"/>
    <w:link w:val="BodyTextIndent2"/>
    <w:rsid w:val="00CE4AFE"/>
    <w:rPr>
      <w:rFonts w:ascii="Arial" w:hAnsi="Arial"/>
      <w:lang w:eastAsia="en-US"/>
    </w:rPr>
  </w:style>
  <w:style w:type="paragraph" w:styleId="BodyTextIndent3">
    <w:name w:val="Body Text Indent 3"/>
    <w:basedOn w:val="Normal"/>
    <w:link w:val="BodyTextIndent3Char"/>
    <w:unhideWhenUsed/>
    <w:rsid w:val="00CE4AFE"/>
    <w:pPr>
      <w:spacing w:after="120"/>
      <w:ind w:left="283"/>
    </w:pPr>
    <w:rPr>
      <w:sz w:val="16"/>
      <w:szCs w:val="16"/>
    </w:rPr>
  </w:style>
  <w:style w:type="character" w:customStyle="1" w:styleId="BodyTextIndent3Char">
    <w:name w:val="Body Text Indent 3 Char"/>
    <w:basedOn w:val="DefaultParagraphFont"/>
    <w:link w:val="BodyTextIndent3"/>
    <w:rsid w:val="00CE4AFE"/>
    <w:rPr>
      <w:rFonts w:ascii="Arial" w:hAnsi="Arial"/>
      <w:sz w:val="16"/>
      <w:szCs w:val="16"/>
      <w:lang w:eastAsia="en-US"/>
    </w:rPr>
  </w:style>
  <w:style w:type="paragraph" w:styleId="BlockText">
    <w:name w:val="Block Text"/>
    <w:basedOn w:val="Normal"/>
    <w:rsid w:val="00BC2AB5"/>
    <w:pPr>
      <w:tabs>
        <w:tab w:val="clear" w:pos="720"/>
        <w:tab w:val="clear" w:pos="1440"/>
        <w:tab w:val="clear" w:pos="2880"/>
        <w:tab w:val="clear" w:pos="5040"/>
        <w:tab w:val="left" w:pos="180"/>
      </w:tabs>
      <w:ind w:left="720" w:right="386" w:hanging="720"/>
      <w:jc w:val="both"/>
    </w:pPr>
    <w:rPr>
      <w:rFonts w:cs="Arial"/>
      <w:b/>
      <w:bCs/>
      <w:sz w:val="24"/>
      <w:u w:val="single"/>
    </w:rPr>
  </w:style>
  <w:style w:type="paragraph" w:styleId="BodyText2">
    <w:name w:val="Body Text 2"/>
    <w:basedOn w:val="Normal"/>
    <w:link w:val="BodyText2Char"/>
    <w:rsid w:val="003241E4"/>
    <w:pPr>
      <w:tabs>
        <w:tab w:val="clear" w:pos="720"/>
        <w:tab w:val="clear" w:pos="1440"/>
        <w:tab w:val="clear" w:pos="2160"/>
        <w:tab w:val="clear" w:pos="2880"/>
        <w:tab w:val="clear" w:pos="3600"/>
        <w:tab w:val="clear" w:pos="4320"/>
        <w:tab w:val="clear" w:pos="5040"/>
      </w:tabs>
      <w:spacing w:after="120" w:line="480" w:lineRule="auto"/>
    </w:pPr>
    <w:rPr>
      <w:rFonts w:ascii="Times New Roman" w:hAnsi="Times New Roman"/>
    </w:rPr>
  </w:style>
  <w:style w:type="character" w:customStyle="1" w:styleId="BodyText2Char">
    <w:name w:val="Body Text 2 Char"/>
    <w:basedOn w:val="DefaultParagraphFont"/>
    <w:link w:val="BodyText2"/>
    <w:rsid w:val="003241E4"/>
    <w:rPr>
      <w:rFonts w:ascii="Times New Roman" w:hAnsi="Times New Roman"/>
      <w:lang w:eastAsia="en-US"/>
    </w:rPr>
  </w:style>
  <w:style w:type="paragraph" w:styleId="Subtitle">
    <w:name w:val="Subtitle"/>
    <w:basedOn w:val="ListParagraph"/>
    <w:next w:val="Normal"/>
    <w:link w:val="SubtitleChar"/>
    <w:qFormat/>
    <w:rsid w:val="00ED2CFB"/>
    <w:pPr>
      <w:numPr>
        <w:numId w:val="1"/>
      </w:numPr>
      <w:tabs>
        <w:tab w:val="left" w:pos="709"/>
      </w:tabs>
      <w:spacing w:after="120"/>
    </w:pPr>
    <w:rPr>
      <w:rFonts w:ascii="Arial" w:hAnsi="Arial" w:cs="Arial"/>
      <w:b/>
      <w:sz w:val="28"/>
      <w:szCs w:val="28"/>
    </w:rPr>
  </w:style>
  <w:style w:type="character" w:customStyle="1" w:styleId="SubtitleChar">
    <w:name w:val="Subtitle Char"/>
    <w:basedOn w:val="DefaultParagraphFont"/>
    <w:link w:val="Subtitle"/>
    <w:rsid w:val="00ED2CFB"/>
    <w:rPr>
      <w:rFonts w:ascii="Arial" w:hAnsi="Arial" w:cs="Arial"/>
      <w:b/>
      <w:sz w:val="28"/>
      <w:szCs w:val="28"/>
      <w:lang w:eastAsia="en-US"/>
    </w:rPr>
  </w:style>
  <w:style w:type="character" w:customStyle="1" w:styleId="Heading3Char">
    <w:name w:val="Heading 3 Char"/>
    <w:basedOn w:val="DefaultParagraphFont"/>
    <w:link w:val="Heading3"/>
    <w:semiHidden/>
    <w:rsid w:val="00375382"/>
    <w:rPr>
      <w:rFonts w:asciiTheme="majorHAnsi" w:eastAsiaTheme="majorEastAsia" w:hAnsiTheme="majorHAnsi" w:cstheme="majorBidi"/>
      <w:b/>
      <w:bCs/>
      <w:color w:val="4F81BD" w:themeColor="accent1"/>
      <w:lang w:eastAsia="en-US"/>
    </w:rPr>
  </w:style>
  <w:style w:type="paragraph" w:customStyle="1" w:styleId="ChapterHeading">
    <w:name w:val="Chapter Heading"/>
    <w:basedOn w:val="Normal"/>
    <w:uiPriority w:val="99"/>
    <w:semiHidden/>
    <w:rsid w:val="00375382"/>
    <w:pPr>
      <w:pageBreakBefore/>
      <w:numPr>
        <w:numId w:val="2"/>
      </w:numPr>
      <w:tabs>
        <w:tab w:val="clear" w:pos="720"/>
        <w:tab w:val="clear" w:pos="1440"/>
        <w:tab w:val="clear" w:pos="2160"/>
        <w:tab w:val="clear" w:pos="2880"/>
        <w:tab w:val="clear" w:pos="3600"/>
        <w:tab w:val="clear" w:pos="4320"/>
        <w:tab w:val="clear" w:pos="5040"/>
      </w:tabs>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375382"/>
    <w:pPr>
      <w:numPr>
        <w:ilvl w:val="1"/>
        <w:numId w:val="2"/>
      </w:numPr>
      <w:tabs>
        <w:tab w:val="clear" w:pos="720"/>
        <w:tab w:val="clear" w:pos="1440"/>
        <w:tab w:val="clear" w:pos="2160"/>
        <w:tab w:val="clear" w:pos="2880"/>
        <w:tab w:val="clear" w:pos="3600"/>
        <w:tab w:val="clear" w:pos="4320"/>
        <w:tab w:val="clear" w:pos="5040"/>
      </w:tabs>
      <w:spacing w:before="270" w:after="180"/>
      <w:jc w:val="both"/>
    </w:pPr>
    <w:rPr>
      <w:rFonts w:cs="Arial"/>
      <w:b/>
      <w:noProof/>
      <w:sz w:val="22"/>
      <w:szCs w:val="22"/>
    </w:rPr>
  </w:style>
  <w:style w:type="paragraph" w:customStyle="1" w:styleId="subhead">
    <w:name w:val="subhead"/>
    <w:basedOn w:val="Subheading"/>
    <w:link w:val="subheadChar"/>
    <w:uiPriority w:val="99"/>
    <w:rsid w:val="00375382"/>
  </w:style>
  <w:style w:type="character" w:customStyle="1" w:styleId="subheadChar">
    <w:name w:val="subhead Char"/>
    <w:link w:val="subhead"/>
    <w:uiPriority w:val="99"/>
    <w:locked/>
    <w:rsid w:val="00375382"/>
    <w:rPr>
      <w:rFonts w:ascii="Arial" w:hAnsi="Arial" w:cs="Arial"/>
      <w:b/>
      <w:noProof/>
      <w:sz w:val="22"/>
      <w:szCs w:val="22"/>
      <w:lang w:eastAsia="en-US"/>
    </w:rPr>
  </w:style>
  <w:style w:type="paragraph" w:customStyle="1" w:styleId="Body">
    <w:name w:val="Body"/>
    <w:rsid w:val="00264C6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Mainnumber">
    <w:name w:val="Main number"/>
    <w:basedOn w:val="Normal"/>
    <w:qFormat/>
    <w:rsid w:val="00FC3204"/>
    <w:pPr>
      <w:numPr>
        <w:numId w:val="3"/>
      </w:numPr>
      <w:tabs>
        <w:tab w:val="clear" w:pos="1440"/>
        <w:tab w:val="clear" w:pos="2160"/>
        <w:tab w:val="clear" w:pos="2880"/>
        <w:tab w:val="clear" w:pos="3600"/>
        <w:tab w:val="clear" w:pos="4320"/>
        <w:tab w:val="clear" w:pos="5040"/>
      </w:tabs>
      <w:spacing w:after="120"/>
    </w:pPr>
    <w:rPr>
      <w:rFonts w:cs="Arial"/>
      <w:b/>
      <w:bCs/>
      <w:sz w:val="24"/>
      <w:szCs w:val="24"/>
    </w:rPr>
  </w:style>
  <w:style w:type="paragraph" w:customStyle="1" w:styleId="Subnumber">
    <w:name w:val="Sub number"/>
    <w:basedOn w:val="Normal"/>
    <w:link w:val="SubnumberChar"/>
    <w:qFormat/>
    <w:rsid w:val="00FC3204"/>
    <w:pPr>
      <w:numPr>
        <w:ilvl w:val="1"/>
        <w:numId w:val="3"/>
      </w:numPr>
      <w:tabs>
        <w:tab w:val="clear" w:pos="1440"/>
        <w:tab w:val="clear" w:pos="2160"/>
        <w:tab w:val="clear" w:pos="2880"/>
        <w:tab w:val="clear" w:pos="3600"/>
        <w:tab w:val="clear" w:pos="4320"/>
        <w:tab w:val="clear" w:pos="5040"/>
      </w:tabs>
      <w:spacing w:after="120"/>
    </w:pPr>
    <w:rPr>
      <w:rFonts w:cs="Arial"/>
      <w:sz w:val="24"/>
      <w:szCs w:val="24"/>
    </w:rPr>
  </w:style>
  <w:style w:type="character" w:customStyle="1" w:styleId="SubnumberChar">
    <w:name w:val="Sub number Char"/>
    <w:basedOn w:val="DefaultParagraphFont"/>
    <w:link w:val="Subnumber"/>
    <w:rsid w:val="00FC3204"/>
    <w:rPr>
      <w:rFonts w:ascii="Arial" w:hAnsi="Arial" w:cs="Arial"/>
      <w:sz w:val="24"/>
      <w:szCs w:val="24"/>
      <w:lang w:eastAsia="en-US"/>
    </w:rPr>
  </w:style>
  <w:style w:type="paragraph" w:customStyle="1" w:styleId="CM8">
    <w:name w:val="CM8"/>
    <w:basedOn w:val="Default"/>
    <w:next w:val="Default"/>
    <w:rsid w:val="002679B5"/>
    <w:pPr>
      <w:spacing w:line="433" w:lineRule="atLeast"/>
    </w:pPr>
    <w:rPr>
      <w:rFonts w:cs="Times New Roman"/>
      <w:color w:val="auto"/>
    </w:rPr>
  </w:style>
  <w:style w:type="paragraph" w:customStyle="1" w:styleId="CM28">
    <w:name w:val="CM28"/>
    <w:basedOn w:val="Default"/>
    <w:next w:val="Default"/>
    <w:uiPriority w:val="99"/>
    <w:rsid w:val="002679B5"/>
    <w:rPr>
      <w:rFonts w:eastAsia="Calibri"/>
      <w:color w:val="auto"/>
      <w:lang w:eastAsia="en-US"/>
    </w:rPr>
  </w:style>
  <w:style w:type="paragraph" w:customStyle="1" w:styleId="CM46">
    <w:name w:val="CM46"/>
    <w:basedOn w:val="Default"/>
    <w:next w:val="Default"/>
    <w:uiPriority w:val="99"/>
    <w:rsid w:val="002679B5"/>
    <w:rPr>
      <w:rFonts w:eastAsia="Calibri"/>
      <w:color w:val="auto"/>
      <w:lang w:eastAsia="en-US"/>
    </w:rPr>
  </w:style>
  <w:style w:type="paragraph" w:customStyle="1" w:styleId="CM21">
    <w:name w:val="CM21"/>
    <w:basedOn w:val="Default"/>
    <w:next w:val="Default"/>
    <w:uiPriority w:val="99"/>
    <w:rsid w:val="002679B5"/>
    <w:pPr>
      <w:spacing w:line="233" w:lineRule="atLeast"/>
    </w:pPr>
    <w:rPr>
      <w:rFonts w:eastAsia="Calibri"/>
      <w:color w:val="auto"/>
      <w:lang w:eastAsia="en-US"/>
    </w:rPr>
  </w:style>
  <w:style w:type="paragraph" w:customStyle="1" w:styleId="CM43">
    <w:name w:val="CM43"/>
    <w:basedOn w:val="Default"/>
    <w:next w:val="Default"/>
    <w:uiPriority w:val="99"/>
    <w:rsid w:val="002679B5"/>
    <w:rPr>
      <w:rFonts w:eastAsia="Calibri"/>
      <w:color w:val="auto"/>
      <w:lang w:eastAsia="en-US"/>
    </w:rPr>
  </w:style>
  <w:style w:type="paragraph" w:customStyle="1" w:styleId="CM38">
    <w:name w:val="CM38"/>
    <w:basedOn w:val="Default"/>
    <w:next w:val="Default"/>
    <w:uiPriority w:val="99"/>
    <w:rsid w:val="002679B5"/>
    <w:pPr>
      <w:spacing w:line="458" w:lineRule="atLeast"/>
    </w:pPr>
    <w:rPr>
      <w:rFonts w:eastAsia="Calibri"/>
      <w:color w:val="auto"/>
      <w:lang w:eastAsia="en-US"/>
    </w:rPr>
  </w:style>
  <w:style w:type="paragraph" w:customStyle="1" w:styleId="CM62">
    <w:name w:val="CM62"/>
    <w:basedOn w:val="Normal"/>
    <w:next w:val="Normal"/>
    <w:uiPriority w:val="99"/>
    <w:rsid w:val="002679B5"/>
    <w:pPr>
      <w:tabs>
        <w:tab w:val="clear" w:pos="720"/>
        <w:tab w:val="clear" w:pos="1440"/>
        <w:tab w:val="clear" w:pos="2160"/>
        <w:tab w:val="clear" w:pos="2880"/>
        <w:tab w:val="clear" w:pos="3600"/>
        <w:tab w:val="clear" w:pos="4320"/>
        <w:tab w:val="clear" w:pos="5040"/>
      </w:tabs>
      <w:autoSpaceDE w:val="0"/>
      <w:autoSpaceDN w:val="0"/>
      <w:adjustRightInd w:val="0"/>
    </w:pPr>
    <w:rPr>
      <w:rFonts w:ascii="Helvetica 45 Light" w:eastAsiaTheme="minorHAnsi" w:hAnsi="Helvetica 45 Light" w:cstheme="minorBidi"/>
      <w:sz w:val="24"/>
      <w:szCs w:val="24"/>
    </w:rPr>
  </w:style>
  <w:style w:type="character" w:customStyle="1" w:styleId="st1">
    <w:name w:val="st1"/>
    <w:basedOn w:val="DefaultParagraphFont"/>
    <w:rsid w:val="002679B5"/>
  </w:style>
  <w:style w:type="paragraph" w:customStyle="1" w:styleId="Pa11">
    <w:name w:val="Pa11"/>
    <w:basedOn w:val="Default"/>
    <w:next w:val="Default"/>
    <w:uiPriority w:val="99"/>
    <w:rsid w:val="002679B5"/>
    <w:pPr>
      <w:spacing w:line="221" w:lineRule="atLeast"/>
    </w:pPr>
    <w:rPr>
      <w:rFonts w:ascii="Helvetica 55 Roman" w:eastAsiaTheme="minorHAnsi" w:hAnsi="Helvetica 55 Roman" w:cstheme="minorBidi"/>
      <w:color w:val="auto"/>
      <w:lang w:eastAsia="en-US"/>
    </w:rPr>
  </w:style>
  <w:style w:type="paragraph" w:customStyle="1" w:styleId="Pa12">
    <w:name w:val="Pa12"/>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Pa13">
    <w:name w:val="Pa13"/>
    <w:basedOn w:val="Default"/>
    <w:next w:val="Default"/>
    <w:uiPriority w:val="99"/>
    <w:rsid w:val="002679B5"/>
    <w:pPr>
      <w:spacing w:line="201" w:lineRule="atLeast"/>
    </w:pPr>
    <w:rPr>
      <w:rFonts w:ascii="Helvetica 55 Roman" w:eastAsiaTheme="minorHAnsi" w:hAnsi="Helvetica 55 Roman" w:cstheme="minorBidi"/>
      <w:color w:val="auto"/>
      <w:lang w:eastAsia="en-US"/>
    </w:rPr>
  </w:style>
  <w:style w:type="paragraph" w:customStyle="1" w:styleId="yiv3963226381msolistparagraph">
    <w:name w:val="yiv3963226381msolistparagraph"/>
    <w:basedOn w:val="Normal"/>
    <w:rsid w:val="00AF46B5"/>
    <w:pPr>
      <w:tabs>
        <w:tab w:val="clear" w:pos="720"/>
        <w:tab w:val="clear" w:pos="1440"/>
        <w:tab w:val="clear" w:pos="2160"/>
        <w:tab w:val="clear" w:pos="2880"/>
        <w:tab w:val="clear" w:pos="3600"/>
        <w:tab w:val="clear" w:pos="4320"/>
        <w:tab w:val="clear" w:pos="5040"/>
      </w:tabs>
      <w:spacing w:before="100" w:beforeAutospacing="1" w:after="100" w:afterAutospacing="1"/>
    </w:pPr>
    <w:rPr>
      <w:rFonts w:ascii="Times New Roman" w:hAnsi="Times New Roman"/>
      <w:sz w:val="24"/>
      <w:szCs w:val="24"/>
      <w:lang w:eastAsia="en-GB"/>
    </w:rPr>
  </w:style>
  <w:style w:type="paragraph" w:customStyle="1" w:styleId="font0">
    <w:name w:val="font0"/>
    <w:basedOn w:val="Normal"/>
    <w:uiPriority w:val="99"/>
    <w:rsid w:val="00D94E13"/>
    <w:pPr>
      <w:tabs>
        <w:tab w:val="clear" w:pos="720"/>
        <w:tab w:val="clear" w:pos="1440"/>
        <w:tab w:val="clear" w:pos="2160"/>
        <w:tab w:val="clear" w:pos="2880"/>
        <w:tab w:val="clear" w:pos="3600"/>
        <w:tab w:val="clear" w:pos="4320"/>
        <w:tab w:val="clear" w:pos="5040"/>
      </w:tabs>
      <w:spacing w:before="100" w:after="100"/>
    </w:pPr>
    <w:rPr>
      <w:rFonts w:eastAsia="Arial Unicode MS" w:cs="Arial"/>
    </w:rPr>
  </w:style>
  <w:style w:type="character" w:styleId="Emphasis">
    <w:name w:val="Emphasis"/>
    <w:basedOn w:val="DefaultParagraphFont"/>
    <w:uiPriority w:val="20"/>
    <w:qFormat/>
    <w:rsid w:val="00D94E13"/>
    <w:rPr>
      <w:b/>
      <w:bCs/>
      <w:i w:val="0"/>
      <w:iCs w:val="0"/>
    </w:rPr>
  </w:style>
  <w:style w:type="character" w:customStyle="1" w:styleId="Heading1Char">
    <w:name w:val="Heading 1 Char"/>
    <w:basedOn w:val="DefaultParagraphFont"/>
    <w:link w:val="Heading1"/>
    <w:rsid w:val="008A7BFA"/>
    <w:rPr>
      <w:rFonts w:asciiTheme="majorHAnsi" w:eastAsiaTheme="majorEastAsia" w:hAnsiTheme="majorHAnsi" w:cstheme="majorBidi"/>
      <w:b/>
      <w:bCs/>
      <w:sz w:val="28"/>
      <w:szCs w:val="28"/>
      <w:lang w:eastAsia="en-US"/>
    </w:rPr>
  </w:style>
  <w:style w:type="character" w:styleId="CommentReference">
    <w:name w:val="annotation reference"/>
    <w:basedOn w:val="DefaultParagraphFont"/>
    <w:rsid w:val="008A7BFA"/>
    <w:rPr>
      <w:sz w:val="16"/>
      <w:szCs w:val="16"/>
    </w:rPr>
  </w:style>
  <w:style w:type="paragraph" w:styleId="CommentText">
    <w:name w:val="annotation text"/>
    <w:basedOn w:val="Normal"/>
    <w:link w:val="CommentTextChar"/>
    <w:rsid w:val="008A7BFA"/>
    <w:pPr>
      <w:numPr>
        <w:ilvl w:val="1"/>
      </w:numPr>
      <w:tabs>
        <w:tab w:val="clear" w:pos="2880"/>
        <w:tab w:val="clear" w:pos="3600"/>
        <w:tab w:val="clear" w:pos="4320"/>
        <w:tab w:val="clear" w:pos="5040"/>
      </w:tabs>
      <w:spacing w:line="276" w:lineRule="auto"/>
      <w:contextualSpacing/>
    </w:pPr>
  </w:style>
  <w:style w:type="character" w:customStyle="1" w:styleId="CommentTextChar">
    <w:name w:val="Comment Text Char"/>
    <w:basedOn w:val="DefaultParagraphFont"/>
    <w:link w:val="CommentText"/>
    <w:rsid w:val="008A7BFA"/>
    <w:rPr>
      <w:rFonts w:ascii="Arial" w:hAnsi="Arial"/>
      <w:lang w:eastAsia="en-US"/>
    </w:rPr>
  </w:style>
  <w:style w:type="paragraph" w:customStyle="1" w:styleId="EYBodytextwithparaspace">
    <w:name w:val="EY Body text (with para space)"/>
    <w:basedOn w:val="Normal"/>
    <w:link w:val="EYBodytextwithparaspaceChar"/>
    <w:rsid w:val="008A7BFA"/>
    <w:p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character" w:customStyle="1" w:styleId="EYBodytextwithparaspaceChar">
    <w:name w:val="EY Body text (with para space) Char"/>
    <w:basedOn w:val="DefaultParagraphFont"/>
    <w:link w:val="EYBodytextwithparaspace"/>
    <w:rsid w:val="008A7BFA"/>
    <w:rPr>
      <w:rFonts w:ascii="Arial" w:hAnsi="Arial" w:cs="Arial"/>
      <w:kern w:val="12"/>
      <w:szCs w:val="24"/>
      <w:lang w:eastAsia="en-US"/>
    </w:rPr>
  </w:style>
  <w:style w:type="paragraph" w:customStyle="1" w:styleId="EYNumber">
    <w:name w:val="EY Number"/>
    <w:basedOn w:val="Normal"/>
    <w:rsid w:val="008A7BFA"/>
    <w:pPr>
      <w:numPr>
        <w:numId w:val="5"/>
      </w:numPr>
      <w:tabs>
        <w:tab w:val="clear" w:pos="720"/>
        <w:tab w:val="clear" w:pos="1440"/>
        <w:tab w:val="clear" w:pos="2160"/>
        <w:tab w:val="clear" w:pos="2880"/>
        <w:tab w:val="clear" w:pos="3600"/>
        <w:tab w:val="clear" w:pos="4320"/>
        <w:tab w:val="clear" w:pos="5040"/>
      </w:tabs>
      <w:suppressAutoHyphens/>
      <w:spacing w:after="240"/>
    </w:pPr>
    <w:rPr>
      <w:rFonts w:cs="Arial"/>
      <w:kern w:val="12"/>
      <w:szCs w:val="24"/>
    </w:rPr>
  </w:style>
  <w:style w:type="paragraph" w:customStyle="1" w:styleId="EYLetter">
    <w:name w:val="EY Letter"/>
    <w:basedOn w:val="EYNumber"/>
    <w:rsid w:val="008A7BFA"/>
    <w:pPr>
      <w:numPr>
        <w:ilvl w:val="1"/>
      </w:numPr>
    </w:pPr>
  </w:style>
  <w:style w:type="table" w:customStyle="1" w:styleId="TableFormat-Standard">
    <w:name w:val="Table Format - Standard"/>
    <w:basedOn w:val="TableNormal"/>
    <w:rsid w:val="008A7BFA"/>
    <w:rPr>
      <w:rFonts w:ascii="Arial" w:hAnsi="Arial"/>
      <w:lang w:val="nl-NL" w:eastAsia="nl-NL"/>
    </w:rPr>
    <w:tblPr>
      <w:tblBorders>
        <w:bottom w:val="single" w:sz="8" w:space="0" w:color="4F81BD"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EYHeading2">
    <w:name w:val="EY Heading 2"/>
    <w:basedOn w:val="Normal"/>
    <w:next w:val="EYBodytextwithparaspace"/>
    <w:link w:val="EYHeading2Char"/>
    <w:rsid w:val="008A7BFA"/>
    <w:pPr>
      <w:keepNext/>
      <w:tabs>
        <w:tab w:val="clear" w:pos="720"/>
        <w:tab w:val="clear" w:pos="1440"/>
        <w:tab w:val="clear" w:pos="2160"/>
        <w:tab w:val="clear" w:pos="2880"/>
        <w:tab w:val="clear" w:pos="3600"/>
        <w:tab w:val="clear" w:pos="4320"/>
        <w:tab w:val="clear" w:pos="5040"/>
      </w:tabs>
      <w:suppressAutoHyphens/>
      <w:spacing w:before="120" w:after="120"/>
    </w:pPr>
    <w:rPr>
      <w:rFonts w:cs="Arial"/>
      <w:b/>
      <w:kern w:val="12"/>
      <w:sz w:val="22"/>
      <w:szCs w:val="24"/>
    </w:rPr>
  </w:style>
  <w:style w:type="paragraph" w:customStyle="1" w:styleId="EYBulletedtext1">
    <w:name w:val="EY Bulleted text 1"/>
    <w:basedOn w:val="EYBodytextwithparaspace"/>
    <w:rsid w:val="008A7BFA"/>
    <w:pPr>
      <w:numPr>
        <w:numId w:val="6"/>
      </w:numPr>
      <w:tabs>
        <w:tab w:val="clear" w:pos="425"/>
      </w:tabs>
      <w:ind w:left="2190" w:hanging="360"/>
    </w:pPr>
  </w:style>
  <w:style w:type="paragraph" w:customStyle="1" w:styleId="EYBulletedtext2">
    <w:name w:val="EY Bulleted text 2"/>
    <w:basedOn w:val="EYBodytextwithparaspace"/>
    <w:rsid w:val="008A7BFA"/>
    <w:pPr>
      <w:numPr>
        <w:ilvl w:val="1"/>
        <w:numId w:val="6"/>
      </w:numPr>
      <w:tabs>
        <w:tab w:val="clear" w:pos="851"/>
      </w:tabs>
      <w:ind w:left="2910" w:hanging="360"/>
    </w:pPr>
  </w:style>
  <w:style w:type="character" w:customStyle="1" w:styleId="EYHeading2Char">
    <w:name w:val="EY Heading 2 Char"/>
    <w:basedOn w:val="DefaultParagraphFont"/>
    <w:link w:val="EYHeading2"/>
    <w:rsid w:val="008A7BFA"/>
    <w:rPr>
      <w:rFonts w:ascii="Arial" w:hAnsi="Arial" w:cs="Arial"/>
      <w:b/>
      <w:kern w:val="12"/>
      <w:sz w:val="22"/>
      <w:szCs w:val="24"/>
      <w:lang w:eastAsia="en-US"/>
    </w:rPr>
  </w:style>
  <w:style w:type="paragraph" w:customStyle="1" w:styleId="EYBulletedtext3">
    <w:name w:val="EY Bulleted text 3"/>
    <w:basedOn w:val="EYBulletedtext1"/>
    <w:qFormat/>
    <w:rsid w:val="008A7BFA"/>
    <w:pPr>
      <w:numPr>
        <w:ilvl w:val="2"/>
      </w:numPr>
      <w:tabs>
        <w:tab w:val="clear" w:pos="1276"/>
      </w:tabs>
      <w:ind w:left="3630" w:hanging="360"/>
    </w:pPr>
    <w:rPr>
      <w:rFonts w:cs="Times New Roman"/>
    </w:rPr>
  </w:style>
  <w:style w:type="paragraph" w:styleId="CommentSubject">
    <w:name w:val="annotation subject"/>
    <w:basedOn w:val="CommentText"/>
    <w:next w:val="CommentText"/>
    <w:link w:val="CommentSubjectChar"/>
    <w:rsid w:val="008A7BFA"/>
    <w:pPr>
      <w:numPr>
        <w:ilvl w:val="0"/>
      </w:numPr>
      <w:tabs>
        <w:tab w:val="clear" w:pos="720"/>
        <w:tab w:val="clear" w:pos="1440"/>
        <w:tab w:val="clear" w:pos="2160"/>
        <w:tab w:val="left" w:pos="709"/>
      </w:tabs>
      <w:spacing w:after="120" w:line="240" w:lineRule="auto"/>
      <w:ind w:left="709" w:hanging="709"/>
    </w:pPr>
    <w:rPr>
      <w:rFonts w:cs="Arial"/>
      <w:b/>
      <w:bCs/>
    </w:rPr>
  </w:style>
  <w:style w:type="character" w:customStyle="1" w:styleId="CommentSubjectChar">
    <w:name w:val="Comment Subject Char"/>
    <w:basedOn w:val="CommentTextChar"/>
    <w:link w:val="CommentSubject"/>
    <w:rsid w:val="008A7BFA"/>
    <w:rPr>
      <w:rFonts w:ascii="Arial" w:hAnsi="Arial" w:cs="Arial"/>
      <w:b/>
      <w:bCs/>
      <w:lang w:eastAsia="en-US"/>
    </w:rPr>
  </w:style>
  <w:style w:type="character" w:styleId="HTMLDefinition">
    <w:name w:val="HTML Definition"/>
    <w:basedOn w:val="DefaultParagraphFont"/>
    <w:uiPriority w:val="99"/>
    <w:unhideWhenUsed/>
    <w:rsid w:val="00C0527E"/>
    <w:rPr>
      <w:i/>
      <w:iCs/>
    </w:rPr>
  </w:style>
  <w:style w:type="table" w:customStyle="1" w:styleId="TableGrid1">
    <w:name w:val="Table Grid1"/>
    <w:basedOn w:val="TableNormal"/>
    <w:next w:val="TableGrid"/>
    <w:uiPriority w:val="59"/>
    <w:rsid w:val="00BC4D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721"/>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2B49"/>
    <w:rPr>
      <w:rFonts w:asciiTheme="minorHAnsi" w:eastAsiaTheme="minorHAnsi" w:hAnsiTheme="minorHAnsi" w:cstheme="minorBidi"/>
      <w:sz w:val="22"/>
      <w:szCs w:val="22"/>
      <w:lang w:eastAsia="en-US"/>
    </w:rPr>
  </w:style>
  <w:style w:type="table" w:customStyle="1" w:styleId="GridTable4-Accent51">
    <w:name w:val="Grid Table 4 - Accent 51"/>
    <w:basedOn w:val="TableNormal"/>
    <w:uiPriority w:val="49"/>
    <w:rsid w:val="005F39DD"/>
    <w:rPr>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6A6BF2"/>
    <w:pPr>
      <w:widowControl w:val="0"/>
      <w:tabs>
        <w:tab w:val="clear" w:pos="720"/>
        <w:tab w:val="clear" w:pos="1440"/>
        <w:tab w:val="clear" w:pos="2160"/>
        <w:tab w:val="clear" w:pos="2880"/>
        <w:tab w:val="clear" w:pos="3600"/>
        <w:tab w:val="clear" w:pos="4320"/>
        <w:tab w:val="clear" w:pos="5040"/>
      </w:tabs>
      <w:autoSpaceDE w:val="0"/>
      <w:autoSpaceDN w:val="0"/>
      <w:adjustRightInd w:val="0"/>
    </w:pPr>
    <w:rPr>
      <w:rFonts w:ascii="Times New Roman" w:eastAsiaTheme="minorEastAsia" w:hAnsi="Times New Roman"/>
      <w:sz w:val="24"/>
      <w:szCs w:val="24"/>
      <w:lang w:eastAsia="en-GB"/>
    </w:rPr>
  </w:style>
  <w:style w:type="paragraph" w:customStyle="1" w:styleId="CM26">
    <w:name w:val="CM26"/>
    <w:basedOn w:val="Normal"/>
    <w:next w:val="Normal"/>
    <w:rsid w:val="002B1765"/>
    <w:pPr>
      <w:tabs>
        <w:tab w:val="clear" w:pos="720"/>
        <w:tab w:val="clear" w:pos="1440"/>
        <w:tab w:val="clear" w:pos="2160"/>
        <w:tab w:val="clear" w:pos="2880"/>
        <w:tab w:val="clear" w:pos="3600"/>
        <w:tab w:val="clear" w:pos="4320"/>
        <w:tab w:val="clear" w:pos="5040"/>
      </w:tabs>
      <w:autoSpaceDE w:val="0"/>
      <w:autoSpaceDN w:val="0"/>
      <w:adjustRightInd w:val="0"/>
    </w:pPr>
    <w:rPr>
      <w:sz w:val="24"/>
      <w:szCs w:val="24"/>
      <w:lang w:eastAsia="en-GB"/>
    </w:rPr>
  </w:style>
  <w:style w:type="table" w:customStyle="1" w:styleId="GridTable4Accent1">
    <w:name w:val="Grid Table 4 Accent 1"/>
    <w:basedOn w:val="TableNormal"/>
    <w:uiPriority w:val="49"/>
    <w:rsid w:val="00807D77"/>
    <w:rPr>
      <w:rFonts w:ascii="Times New Roman" w:hAnsi="Times New Roman"/>
      <w:lang w:eastAsia="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99"/>
    <w:rsid w:val="004055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03FB"/>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84FB5"/>
  </w:style>
  <w:style w:type="table" w:customStyle="1" w:styleId="TableGrid5">
    <w:name w:val="Table Grid5"/>
    <w:basedOn w:val="TableNormal"/>
    <w:next w:val="TableGrid"/>
    <w:uiPriority w:val="59"/>
    <w:rsid w:val="00084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C0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369">
      <w:bodyDiv w:val="1"/>
      <w:marLeft w:val="0"/>
      <w:marRight w:val="0"/>
      <w:marTop w:val="0"/>
      <w:marBottom w:val="0"/>
      <w:divBdr>
        <w:top w:val="none" w:sz="0" w:space="0" w:color="auto"/>
        <w:left w:val="none" w:sz="0" w:space="0" w:color="auto"/>
        <w:bottom w:val="none" w:sz="0" w:space="0" w:color="auto"/>
        <w:right w:val="none" w:sz="0" w:space="0" w:color="auto"/>
      </w:divBdr>
    </w:div>
    <w:div w:id="37706467">
      <w:bodyDiv w:val="1"/>
      <w:marLeft w:val="0"/>
      <w:marRight w:val="0"/>
      <w:marTop w:val="0"/>
      <w:marBottom w:val="0"/>
      <w:divBdr>
        <w:top w:val="none" w:sz="0" w:space="0" w:color="auto"/>
        <w:left w:val="none" w:sz="0" w:space="0" w:color="auto"/>
        <w:bottom w:val="none" w:sz="0" w:space="0" w:color="auto"/>
        <w:right w:val="none" w:sz="0" w:space="0" w:color="auto"/>
      </w:divBdr>
    </w:div>
    <w:div w:id="37751539">
      <w:bodyDiv w:val="1"/>
      <w:marLeft w:val="0"/>
      <w:marRight w:val="0"/>
      <w:marTop w:val="0"/>
      <w:marBottom w:val="0"/>
      <w:divBdr>
        <w:top w:val="none" w:sz="0" w:space="0" w:color="auto"/>
        <w:left w:val="none" w:sz="0" w:space="0" w:color="auto"/>
        <w:bottom w:val="none" w:sz="0" w:space="0" w:color="auto"/>
        <w:right w:val="none" w:sz="0" w:space="0" w:color="auto"/>
      </w:divBdr>
    </w:div>
    <w:div w:id="55248792">
      <w:bodyDiv w:val="1"/>
      <w:marLeft w:val="0"/>
      <w:marRight w:val="0"/>
      <w:marTop w:val="0"/>
      <w:marBottom w:val="0"/>
      <w:divBdr>
        <w:top w:val="none" w:sz="0" w:space="0" w:color="auto"/>
        <w:left w:val="none" w:sz="0" w:space="0" w:color="auto"/>
        <w:bottom w:val="none" w:sz="0" w:space="0" w:color="auto"/>
        <w:right w:val="none" w:sz="0" w:space="0" w:color="auto"/>
      </w:divBdr>
    </w:div>
    <w:div w:id="55981078">
      <w:bodyDiv w:val="1"/>
      <w:marLeft w:val="0"/>
      <w:marRight w:val="0"/>
      <w:marTop w:val="0"/>
      <w:marBottom w:val="0"/>
      <w:divBdr>
        <w:top w:val="none" w:sz="0" w:space="0" w:color="auto"/>
        <w:left w:val="none" w:sz="0" w:space="0" w:color="auto"/>
        <w:bottom w:val="none" w:sz="0" w:space="0" w:color="auto"/>
        <w:right w:val="none" w:sz="0" w:space="0" w:color="auto"/>
      </w:divBdr>
    </w:div>
    <w:div w:id="71003736">
      <w:bodyDiv w:val="1"/>
      <w:marLeft w:val="0"/>
      <w:marRight w:val="0"/>
      <w:marTop w:val="0"/>
      <w:marBottom w:val="0"/>
      <w:divBdr>
        <w:top w:val="none" w:sz="0" w:space="0" w:color="auto"/>
        <w:left w:val="none" w:sz="0" w:space="0" w:color="auto"/>
        <w:bottom w:val="none" w:sz="0" w:space="0" w:color="auto"/>
        <w:right w:val="none" w:sz="0" w:space="0" w:color="auto"/>
      </w:divBdr>
    </w:div>
    <w:div w:id="86193405">
      <w:bodyDiv w:val="1"/>
      <w:marLeft w:val="0"/>
      <w:marRight w:val="0"/>
      <w:marTop w:val="0"/>
      <w:marBottom w:val="0"/>
      <w:divBdr>
        <w:top w:val="none" w:sz="0" w:space="0" w:color="auto"/>
        <w:left w:val="none" w:sz="0" w:space="0" w:color="auto"/>
        <w:bottom w:val="none" w:sz="0" w:space="0" w:color="auto"/>
        <w:right w:val="none" w:sz="0" w:space="0" w:color="auto"/>
      </w:divBdr>
    </w:div>
    <w:div w:id="125854650">
      <w:bodyDiv w:val="1"/>
      <w:marLeft w:val="0"/>
      <w:marRight w:val="0"/>
      <w:marTop w:val="0"/>
      <w:marBottom w:val="0"/>
      <w:divBdr>
        <w:top w:val="none" w:sz="0" w:space="0" w:color="auto"/>
        <w:left w:val="none" w:sz="0" w:space="0" w:color="auto"/>
        <w:bottom w:val="none" w:sz="0" w:space="0" w:color="auto"/>
        <w:right w:val="none" w:sz="0" w:space="0" w:color="auto"/>
      </w:divBdr>
    </w:div>
    <w:div w:id="138156572">
      <w:bodyDiv w:val="1"/>
      <w:marLeft w:val="0"/>
      <w:marRight w:val="0"/>
      <w:marTop w:val="0"/>
      <w:marBottom w:val="0"/>
      <w:divBdr>
        <w:top w:val="none" w:sz="0" w:space="0" w:color="auto"/>
        <w:left w:val="none" w:sz="0" w:space="0" w:color="auto"/>
        <w:bottom w:val="none" w:sz="0" w:space="0" w:color="auto"/>
        <w:right w:val="none" w:sz="0" w:space="0" w:color="auto"/>
      </w:divBdr>
    </w:div>
    <w:div w:id="216404448">
      <w:bodyDiv w:val="1"/>
      <w:marLeft w:val="0"/>
      <w:marRight w:val="0"/>
      <w:marTop w:val="0"/>
      <w:marBottom w:val="0"/>
      <w:divBdr>
        <w:top w:val="none" w:sz="0" w:space="0" w:color="auto"/>
        <w:left w:val="none" w:sz="0" w:space="0" w:color="auto"/>
        <w:bottom w:val="none" w:sz="0" w:space="0" w:color="auto"/>
        <w:right w:val="none" w:sz="0" w:space="0" w:color="auto"/>
      </w:divBdr>
    </w:div>
    <w:div w:id="219245943">
      <w:bodyDiv w:val="1"/>
      <w:marLeft w:val="0"/>
      <w:marRight w:val="0"/>
      <w:marTop w:val="0"/>
      <w:marBottom w:val="0"/>
      <w:divBdr>
        <w:top w:val="none" w:sz="0" w:space="0" w:color="auto"/>
        <w:left w:val="none" w:sz="0" w:space="0" w:color="auto"/>
        <w:bottom w:val="none" w:sz="0" w:space="0" w:color="auto"/>
        <w:right w:val="none" w:sz="0" w:space="0" w:color="auto"/>
      </w:divBdr>
    </w:div>
    <w:div w:id="238638425">
      <w:bodyDiv w:val="1"/>
      <w:marLeft w:val="0"/>
      <w:marRight w:val="0"/>
      <w:marTop w:val="0"/>
      <w:marBottom w:val="0"/>
      <w:divBdr>
        <w:top w:val="none" w:sz="0" w:space="0" w:color="auto"/>
        <w:left w:val="none" w:sz="0" w:space="0" w:color="auto"/>
        <w:bottom w:val="none" w:sz="0" w:space="0" w:color="auto"/>
        <w:right w:val="none" w:sz="0" w:space="0" w:color="auto"/>
      </w:divBdr>
    </w:div>
    <w:div w:id="271787697">
      <w:bodyDiv w:val="1"/>
      <w:marLeft w:val="0"/>
      <w:marRight w:val="0"/>
      <w:marTop w:val="0"/>
      <w:marBottom w:val="0"/>
      <w:divBdr>
        <w:top w:val="none" w:sz="0" w:space="0" w:color="auto"/>
        <w:left w:val="none" w:sz="0" w:space="0" w:color="auto"/>
        <w:bottom w:val="none" w:sz="0" w:space="0" w:color="auto"/>
        <w:right w:val="none" w:sz="0" w:space="0" w:color="auto"/>
      </w:divBdr>
    </w:div>
    <w:div w:id="281574189">
      <w:bodyDiv w:val="1"/>
      <w:marLeft w:val="0"/>
      <w:marRight w:val="0"/>
      <w:marTop w:val="0"/>
      <w:marBottom w:val="0"/>
      <w:divBdr>
        <w:top w:val="none" w:sz="0" w:space="0" w:color="auto"/>
        <w:left w:val="none" w:sz="0" w:space="0" w:color="auto"/>
        <w:bottom w:val="none" w:sz="0" w:space="0" w:color="auto"/>
        <w:right w:val="none" w:sz="0" w:space="0" w:color="auto"/>
      </w:divBdr>
    </w:div>
    <w:div w:id="340204112">
      <w:bodyDiv w:val="1"/>
      <w:marLeft w:val="0"/>
      <w:marRight w:val="0"/>
      <w:marTop w:val="0"/>
      <w:marBottom w:val="0"/>
      <w:divBdr>
        <w:top w:val="none" w:sz="0" w:space="0" w:color="auto"/>
        <w:left w:val="none" w:sz="0" w:space="0" w:color="auto"/>
        <w:bottom w:val="none" w:sz="0" w:space="0" w:color="auto"/>
        <w:right w:val="none" w:sz="0" w:space="0" w:color="auto"/>
      </w:divBdr>
    </w:div>
    <w:div w:id="356468015">
      <w:bodyDiv w:val="1"/>
      <w:marLeft w:val="0"/>
      <w:marRight w:val="0"/>
      <w:marTop w:val="0"/>
      <w:marBottom w:val="0"/>
      <w:divBdr>
        <w:top w:val="none" w:sz="0" w:space="0" w:color="auto"/>
        <w:left w:val="none" w:sz="0" w:space="0" w:color="auto"/>
        <w:bottom w:val="none" w:sz="0" w:space="0" w:color="auto"/>
        <w:right w:val="none" w:sz="0" w:space="0" w:color="auto"/>
      </w:divBdr>
    </w:div>
    <w:div w:id="373389922">
      <w:bodyDiv w:val="1"/>
      <w:marLeft w:val="0"/>
      <w:marRight w:val="0"/>
      <w:marTop w:val="0"/>
      <w:marBottom w:val="0"/>
      <w:divBdr>
        <w:top w:val="none" w:sz="0" w:space="0" w:color="auto"/>
        <w:left w:val="none" w:sz="0" w:space="0" w:color="auto"/>
        <w:bottom w:val="none" w:sz="0" w:space="0" w:color="auto"/>
        <w:right w:val="none" w:sz="0" w:space="0" w:color="auto"/>
      </w:divBdr>
    </w:div>
    <w:div w:id="398022803">
      <w:bodyDiv w:val="1"/>
      <w:marLeft w:val="0"/>
      <w:marRight w:val="0"/>
      <w:marTop w:val="0"/>
      <w:marBottom w:val="0"/>
      <w:divBdr>
        <w:top w:val="none" w:sz="0" w:space="0" w:color="auto"/>
        <w:left w:val="none" w:sz="0" w:space="0" w:color="auto"/>
        <w:bottom w:val="none" w:sz="0" w:space="0" w:color="auto"/>
        <w:right w:val="none" w:sz="0" w:space="0" w:color="auto"/>
      </w:divBdr>
    </w:div>
    <w:div w:id="430274904">
      <w:bodyDiv w:val="1"/>
      <w:marLeft w:val="0"/>
      <w:marRight w:val="0"/>
      <w:marTop w:val="0"/>
      <w:marBottom w:val="0"/>
      <w:divBdr>
        <w:top w:val="none" w:sz="0" w:space="0" w:color="auto"/>
        <w:left w:val="none" w:sz="0" w:space="0" w:color="auto"/>
        <w:bottom w:val="none" w:sz="0" w:space="0" w:color="auto"/>
        <w:right w:val="none" w:sz="0" w:space="0" w:color="auto"/>
      </w:divBdr>
    </w:div>
    <w:div w:id="452485566">
      <w:bodyDiv w:val="1"/>
      <w:marLeft w:val="0"/>
      <w:marRight w:val="0"/>
      <w:marTop w:val="0"/>
      <w:marBottom w:val="0"/>
      <w:divBdr>
        <w:top w:val="none" w:sz="0" w:space="0" w:color="auto"/>
        <w:left w:val="none" w:sz="0" w:space="0" w:color="auto"/>
        <w:bottom w:val="none" w:sz="0" w:space="0" w:color="auto"/>
        <w:right w:val="none" w:sz="0" w:space="0" w:color="auto"/>
      </w:divBdr>
    </w:div>
    <w:div w:id="458299398">
      <w:bodyDiv w:val="1"/>
      <w:marLeft w:val="0"/>
      <w:marRight w:val="0"/>
      <w:marTop w:val="0"/>
      <w:marBottom w:val="0"/>
      <w:divBdr>
        <w:top w:val="none" w:sz="0" w:space="0" w:color="auto"/>
        <w:left w:val="none" w:sz="0" w:space="0" w:color="auto"/>
        <w:bottom w:val="none" w:sz="0" w:space="0" w:color="auto"/>
        <w:right w:val="none" w:sz="0" w:space="0" w:color="auto"/>
      </w:divBdr>
    </w:div>
    <w:div w:id="465585885">
      <w:bodyDiv w:val="1"/>
      <w:marLeft w:val="0"/>
      <w:marRight w:val="0"/>
      <w:marTop w:val="0"/>
      <w:marBottom w:val="0"/>
      <w:divBdr>
        <w:top w:val="none" w:sz="0" w:space="0" w:color="auto"/>
        <w:left w:val="none" w:sz="0" w:space="0" w:color="auto"/>
        <w:bottom w:val="none" w:sz="0" w:space="0" w:color="auto"/>
        <w:right w:val="none" w:sz="0" w:space="0" w:color="auto"/>
      </w:divBdr>
    </w:div>
    <w:div w:id="486868531">
      <w:bodyDiv w:val="1"/>
      <w:marLeft w:val="0"/>
      <w:marRight w:val="0"/>
      <w:marTop w:val="0"/>
      <w:marBottom w:val="0"/>
      <w:divBdr>
        <w:top w:val="none" w:sz="0" w:space="0" w:color="auto"/>
        <w:left w:val="none" w:sz="0" w:space="0" w:color="auto"/>
        <w:bottom w:val="none" w:sz="0" w:space="0" w:color="auto"/>
        <w:right w:val="none" w:sz="0" w:space="0" w:color="auto"/>
      </w:divBdr>
    </w:div>
    <w:div w:id="487329254">
      <w:bodyDiv w:val="1"/>
      <w:marLeft w:val="0"/>
      <w:marRight w:val="0"/>
      <w:marTop w:val="0"/>
      <w:marBottom w:val="0"/>
      <w:divBdr>
        <w:top w:val="none" w:sz="0" w:space="0" w:color="auto"/>
        <w:left w:val="none" w:sz="0" w:space="0" w:color="auto"/>
        <w:bottom w:val="none" w:sz="0" w:space="0" w:color="auto"/>
        <w:right w:val="none" w:sz="0" w:space="0" w:color="auto"/>
      </w:divBdr>
    </w:div>
    <w:div w:id="539054926">
      <w:bodyDiv w:val="1"/>
      <w:marLeft w:val="0"/>
      <w:marRight w:val="0"/>
      <w:marTop w:val="0"/>
      <w:marBottom w:val="0"/>
      <w:divBdr>
        <w:top w:val="none" w:sz="0" w:space="0" w:color="auto"/>
        <w:left w:val="none" w:sz="0" w:space="0" w:color="auto"/>
        <w:bottom w:val="none" w:sz="0" w:space="0" w:color="auto"/>
        <w:right w:val="none" w:sz="0" w:space="0" w:color="auto"/>
      </w:divBdr>
    </w:div>
    <w:div w:id="556204469">
      <w:bodyDiv w:val="1"/>
      <w:marLeft w:val="0"/>
      <w:marRight w:val="0"/>
      <w:marTop w:val="0"/>
      <w:marBottom w:val="0"/>
      <w:divBdr>
        <w:top w:val="none" w:sz="0" w:space="0" w:color="auto"/>
        <w:left w:val="none" w:sz="0" w:space="0" w:color="auto"/>
        <w:bottom w:val="none" w:sz="0" w:space="0" w:color="auto"/>
        <w:right w:val="none" w:sz="0" w:space="0" w:color="auto"/>
      </w:divBdr>
    </w:div>
    <w:div w:id="556668435">
      <w:bodyDiv w:val="1"/>
      <w:marLeft w:val="0"/>
      <w:marRight w:val="0"/>
      <w:marTop w:val="0"/>
      <w:marBottom w:val="0"/>
      <w:divBdr>
        <w:top w:val="none" w:sz="0" w:space="0" w:color="auto"/>
        <w:left w:val="none" w:sz="0" w:space="0" w:color="auto"/>
        <w:bottom w:val="none" w:sz="0" w:space="0" w:color="auto"/>
        <w:right w:val="none" w:sz="0" w:space="0" w:color="auto"/>
      </w:divBdr>
    </w:div>
    <w:div w:id="567303227">
      <w:bodyDiv w:val="1"/>
      <w:marLeft w:val="0"/>
      <w:marRight w:val="0"/>
      <w:marTop w:val="0"/>
      <w:marBottom w:val="0"/>
      <w:divBdr>
        <w:top w:val="none" w:sz="0" w:space="0" w:color="auto"/>
        <w:left w:val="none" w:sz="0" w:space="0" w:color="auto"/>
        <w:bottom w:val="none" w:sz="0" w:space="0" w:color="auto"/>
        <w:right w:val="none" w:sz="0" w:space="0" w:color="auto"/>
      </w:divBdr>
    </w:div>
    <w:div w:id="626856608">
      <w:bodyDiv w:val="1"/>
      <w:marLeft w:val="0"/>
      <w:marRight w:val="0"/>
      <w:marTop w:val="0"/>
      <w:marBottom w:val="0"/>
      <w:divBdr>
        <w:top w:val="none" w:sz="0" w:space="0" w:color="auto"/>
        <w:left w:val="none" w:sz="0" w:space="0" w:color="auto"/>
        <w:bottom w:val="none" w:sz="0" w:space="0" w:color="auto"/>
        <w:right w:val="none" w:sz="0" w:space="0" w:color="auto"/>
      </w:divBdr>
    </w:div>
    <w:div w:id="650519665">
      <w:bodyDiv w:val="1"/>
      <w:marLeft w:val="0"/>
      <w:marRight w:val="0"/>
      <w:marTop w:val="0"/>
      <w:marBottom w:val="0"/>
      <w:divBdr>
        <w:top w:val="none" w:sz="0" w:space="0" w:color="auto"/>
        <w:left w:val="none" w:sz="0" w:space="0" w:color="auto"/>
        <w:bottom w:val="none" w:sz="0" w:space="0" w:color="auto"/>
        <w:right w:val="none" w:sz="0" w:space="0" w:color="auto"/>
      </w:divBdr>
    </w:div>
    <w:div w:id="671639855">
      <w:bodyDiv w:val="1"/>
      <w:marLeft w:val="0"/>
      <w:marRight w:val="0"/>
      <w:marTop w:val="0"/>
      <w:marBottom w:val="0"/>
      <w:divBdr>
        <w:top w:val="none" w:sz="0" w:space="0" w:color="auto"/>
        <w:left w:val="none" w:sz="0" w:space="0" w:color="auto"/>
        <w:bottom w:val="none" w:sz="0" w:space="0" w:color="auto"/>
        <w:right w:val="none" w:sz="0" w:space="0" w:color="auto"/>
      </w:divBdr>
    </w:div>
    <w:div w:id="671643037">
      <w:bodyDiv w:val="1"/>
      <w:marLeft w:val="0"/>
      <w:marRight w:val="0"/>
      <w:marTop w:val="0"/>
      <w:marBottom w:val="0"/>
      <w:divBdr>
        <w:top w:val="none" w:sz="0" w:space="0" w:color="auto"/>
        <w:left w:val="none" w:sz="0" w:space="0" w:color="auto"/>
        <w:bottom w:val="none" w:sz="0" w:space="0" w:color="auto"/>
        <w:right w:val="none" w:sz="0" w:space="0" w:color="auto"/>
      </w:divBdr>
    </w:div>
    <w:div w:id="719549600">
      <w:bodyDiv w:val="1"/>
      <w:marLeft w:val="0"/>
      <w:marRight w:val="0"/>
      <w:marTop w:val="0"/>
      <w:marBottom w:val="0"/>
      <w:divBdr>
        <w:top w:val="none" w:sz="0" w:space="0" w:color="auto"/>
        <w:left w:val="none" w:sz="0" w:space="0" w:color="auto"/>
        <w:bottom w:val="none" w:sz="0" w:space="0" w:color="auto"/>
        <w:right w:val="none" w:sz="0" w:space="0" w:color="auto"/>
      </w:divBdr>
    </w:div>
    <w:div w:id="720833851">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772749576">
      <w:bodyDiv w:val="1"/>
      <w:marLeft w:val="0"/>
      <w:marRight w:val="0"/>
      <w:marTop w:val="0"/>
      <w:marBottom w:val="0"/>
      <w:divBdr>
        <w:top w:val="none" w:sz="0" w:space="0" w:color="auto"/>
        <w:left w:val="none" w:sz="0" w:space="0" w:color="auto"/>
        <w:bottom w:val="none" w:sz="0" w:space="0" w:color="auto"/>
        <w:right w:val="none" w:sz="0" w:space="0" w:color="auto"/>
      </w:divBdr>
    </w:div>
    <w:div w:id="781077470">
      <w:bodyDiv w:val="1"/>
      <w:marLeft w:val="0"/>
      <w:marRight w:val="0"/>
      <w:marTop w:val="0"/>
      <w:marBottom w:val="0"/>
      <w:divBdr>
        <w:top w:val="none" w:sz="0" w:space="0" w:color="auto"/>
        <w:left w:val="none" w:sz="0" w:space="0" w:color="auto"/>
        <w:bottom w:val="none" w:sz="0" w:space="0" w:color="auto"/>
        <w:right w:val="none" w:sz="0" w:space="0" w:color="auto"/>
      </w:divBdr>
    </w:div>
    <w:div w:id="791904178">
      <w:bodyDiv w:val="1"/>
      <w:marLeft w:val="0"/>
      <w:marRight w:val="0"/>
      <w:marTop w:val="0"/>
      <w:marBottom w:val="0"/>
      <w:divBdr>
        <w:top w:val="none" w:sz="0" w:space="0" w:color="auto"/>
        <w:left w:val="none" w:sz="0" w:space="0" w:color="auto"/>
        <w:bottom w:val="none" w:sz="0" w:space="0" w:color="auto"/>
        <w:right w:val="none" w:sz="0" w:space="0" w:color="auto"/>
      </w:divBdr>
    </w:div>
    <w:div w:id="804927503">
      <w:bodyDiv w:val="1"/>
      <w:marLeft w:val="0"/>
      <w:marRight w:val="0"/>
      <w:marTop w:val="0"/>
      <w:marBottom w:val="0"/>
      <w:divBdr>
        <w:top w:val="none" w:sz="0" w:space="0" w:color="auto"/>
        <w:left w:val="none" w:sz="0" w:space="0" w:color="auto"/>
        <w:bottom w:val="none" w:sz="0" w:space="0" w:color="auto"/>
        <w:right w:val="none" w:sz="0" w:space="0" w:color="auto"/>
      </w:divBdr>
    </w:div>
    <w:div w:id="834878728">
      <w:bodyDiv w:val="1"/>
      <w:marLeft w:val="0"/>
      <w:marRight w:val="0"/>
      <w:marTop w:val="0"/>
      <w:marBottom w:val="0"/>
      <w:divBdr>
        <w:top w:val="none" w:sz="0" w:space="0" w:color="auto"/>
        <w:left w:val="none" w:sz="0" w:space="0" w:color="auto"/>
        <w:bottom w:val="none" w:sz="0" w:space="0" w:color="auto"/>
        <w:right w:val="none" w:sz="0" w:space="0" w:color="auto"/>
      </w:divBdr>
    </w:div>
    <w:div w:id="884177197">
      <w:bodyDiv w:val="1"/>
      <w:marLeft w:val="0"/>
      <w:marRight w:val="0"/>
      <w:marTop w:val="0"/>
      <w:marBottom w:val="0"/>
      <w:divBdr>
        <w:top w:val="none" w:sz="0" w:space="0" w:color="auto"/>
        <w:left w:val="none" w:sz="0" w:space="0" w:color="auto"/>
        <w:bottom w:val="none" w:sz="0" w:space="0" w:color="auto"/>
        <w:right w:val="none" w:sz="0" w:space="0" w:color="auto"/>
      </w:divBdr>
    </w:div>
    <w:div w:id="907157696">
      <w:bodyDiv w:val="1"/>
      <w:marLeft w:val="0"/>
      <w:marRight w:val="0"/>
      <w:marTop w:val="0"/>
      <w:marBottom w:val="0"/>
      <w:divBdr>
        <w:top w:val="none" w:sz="0" w:space="0" w:color="auto"/>
        <w:left w:val="none" w:sz="0" w:space="0" w:color="auto"/>
        <w:bottom w:val="none" w:sz="0" w:space="0" w:color="auto"/>
        <w:right w:val="none" w:sz="0" w:space="0" w:color="auto"/>
      </w:divBdr>
    </w:div>
    <w:div w:id="921641409">
      <w:bodyDiv w:val="1"/>
      <w:marLeft w:val="0"/>
      <w:marRight w:val="0"/>
      <w:marTop w:val="0"/>
      <w:marBottom w:val="0"/>
      <w:divBdr>
        <w:top w:val="none" w:sz="0" w:space="0" w:color="auto"/>
        <w:left w:val="none" w:sz="0" w:space="0" w:color="auto"/>
        <w:bottom w:val="none" w:sz="0" w:space="0" w:color="auto"/>
        <w:right w:val="none" w:sz="0" w:space="0" w:color="auto"/>
      </w:divBdr>
    </w:div>
    <w:div w:id="942569426">
      <w:bodyDiv w:val="1"/>
      <w:marLeft w:val="0"/>
      <w:marRight w:val="0"/>
      <w:marTop w:val="0"/>
      <w:marBottom w:val="0"/>
      <w:divBdr>
        <w:top w:val="none" w:sz="0" w:space="0" w:color="auto"/>
        <w:left w:val="none" w:sz="0" w:space="0" w:color="auto"/>
        <w:bottom w:val="none" w:sz="0" w:space="0" w:color="auto"/>
        <w:right w:val="none" w:sz="0" w:space="0" w:color="auto"/>
      </w:divBdr>
    </w:div>
    <w:div w:id="982194622">
      <w:bodyDiv w:val="1"/>
      <w:marLeft w:val="0"/>
      <w:marRight w:val="0"/>
      <w:marTop w:val="0"/>
      <w:marBottom w:val="0"/>
      <w:divBdr>
        <w:top w:val="none" w:sz="0" w:space="0" w:color="auto"/>
        <w:left w:val="none" w:sz="0" w:space="0" w:color="auto"/>
        <w:bottom w:val="none" w:sz="0" w:space="0" w:color="auto"/>
        <w:right w:val="none" w:sz="0" w:space="0" w:color="auto"/>
      </w:divBdr>
    </w:div>
    <w:div w:id="984120347">
      <w:bodyDiv w:val="1"/>
      <w:marLeft w:val="0"/>
      <w:marRight w:val="0"/>
      <w:marTop w:val="0"/>
      <w:marBottom w:val="0"/>
      <w:divBdr>
        <w:top w:val="none" w:sz="0" w:space="0" w:color="auto"/>
        <w:left w:val="none" w:sz="0" w:space="0" w:color="auto"/>
        <w:bottom w:val="none" w:sz="0" w:space="0" w:color="auto"/>
        <w:right w:val="none" w:sz="0" w:space="0" w:color="auto"/>
      </w:divBdr>
    </w:div>
    <w:div w:id="990134022">
      <w:bodyDiv w:val="1"/>
      <w:marLeft w:val="0"/>
      <w:marRight w:val="0"/>
      <w:marTop w:val="0"/>
      <w:marBottom w:val="0"/>
      <w:divBdr>
        <w:top w:val="none" w:sz="0" w:space="0" w:color="auto"/>
        <w:left w:val="none" w:sz="0" w:space="0" w:color="auto"/>
        <w:bottom w:val="none" w:sz="0" w:space="0" w:color="auto"/>
        <w:right w:val="none" w:sz="0" w:space="0" w:color="auto"/>
      </w:divBdr>
    </w:div>
    <w:div w:id="998115263">
      <w:bodyDiv w:val="1"/>
      <w:marLeft w:val="0"/>
      <w:marRight w:val="0"/>
      <w:marTop w:val="0"/>
      <w:marBottom w:val="0"/>
      <w:divBdr>
        <w:top w:val="none" w:sz="0" w:space="0" w:color="auto"/>
        <w:left w:val="none" w:sz="0" w:space="0" w:color="auto"/>
        <w:bottom w:val="none" w:sz="0" w:space="0" w:color="auto"/>
        <w:right w:val="none" w:sz="0" w:space="0" w:color="auto"/>
      </w:divBdr>
    </w:div>
    <w:div w:id="1000962617">
      <w:bodyDiv w:val="1"/>
      <w:marLeft w:val="0"/>
      <w:marRight w:val="0"/>
      <w:marTop w:val="0"/>
      <w:marBottom w:val="0"/>
      <w:divBdr>
        <w:top w:val="none" w:sz="0" w:space="0" w:color="auto"/>
        <w:left w:val="none" w:sz="0" w:space="0" w:color="auto"/>
        <w:bottom w:val="none" w:sz="0" w:space="0" w:color="auto"/>
        <w:right w:val="none" w:sz="0" w:space="0" w:color="auto"/>
      </w:divBdr>
    </w:div>
    <w:div w:id="1020858413">
      <w:bodyDiv w:val="1"/>
      <w:marLeft w:val="0"/>
      <w:marRight w:val="0"/>
      <w:marTop w:val="0"/>
      <w:marBottom w:val="0"/>
      <w:divBdr>
        <w:top w:val="none" w:sz="0" w:space="0" w:color="auto"/>
        <w:left w:val="none" w:sz="0" w:space="0" w:color="auto"/>
        <w:bottom w:val="none" w:sz="0" w:space="0" w:color="auto"/>
        <w:right w:val="none" w:sz="0" w:space="0" w:color="auto"/>
      </w:divBdr>
    </w:div>
    <w:div w:id="1046492093">
      <w:bodyDiv w:val="1"/>
      <w:marLeft w:val="0"/>
      <w:marRight w:val="0"/>
      <w:marTop w:val="0"/>
      <w:marBottom w:val="0"/>
      <w:divBdr>
        <w:top w:val="none" w:sz="0" w:space="0" w:color="auto"/>
        <w:left w:val="none" w:sz="0" w:space="0" w:color="auto"/>
        <w:bottom w:val="none" w:sz="0" w:space="0" w:color="auto"/>
        <w:right w:val="none" w:sz="0" w:space="0" w:color="auto"/>
      </w:divBdr>
    </w:div>
    <w:div w:id="1065371749">
      <w:bodyDiv w:val="1"/>
      <w:marLeft w:val="0"/>
      <w:marRight w:val="0"/>
      <w:marTop w:val="0"/>
      <w:marBottom w:val="0"/>
      <w:divBdr>
        <w:top w:val="none" w:sz="0" w:space="0" w:color="auto"/>
        <w:left w:val="none" w:sz="0" w:space="0" w:color="auto"/>
        <w:bottom w:val="none" w:sz="0" w:space="0" w:color="auto"/>
        <w:right w:val="none" w:sz="0" w:space="0" w:color="auto"/>
      </w:divBdr>
    </w:div>
    <w:div w:id="1088766969">
      <w:bodyDiv w:val="1"/>
      <w:marLeft w:val="0"/>
      <w:marRight w:val="0"/>
      <w:marTop w:val="0"/>
      <w:marBottom w:val="0"/>
      <w:divBdr>
        <w:top w:val="none" w:sz="0" w:space="0" w:color="auto"/>
        <w:left w:val="none" w:sz="0" w:space="0" w:color="auto"/>
        <w:bottom w:val="none" w:sz="0" w:space="0" w:color="auto"/>
        <w:right w:val="none" w:sz="0" w:space="0" w:color="auto"/>
      </w:divBdr>
    </w:div>
    <w:div w:id="1097335606">
      <w:bodyDiv w:val="1"/>
      <w:marLeft w:val="0"/>
      <w:marRight w:val="0"/>
      <w:marTop w:val="0"/>
      <w:marBottom w:val="0"/>
      <w:divBdr>
        <w:top w:val="none" w:sz="0" w:space="0" w:color="auto"/>
        <w:left w:val="none" w:sz="0" w:space="0" w:color="auto"/>
        <w:bottom w:val="none" w:sz="0" w:space="0" w:color="auto"/>
        <w:right w:val="none" w:sz="0" w:space="0" w:color="auto"/>
      </w:divBdr>
    </w:div>
    <w:div w:id="1098646378">
      <w:bodyDiv w:val="1"/>
      <w:marLeft w:val="0"/>
      <w:marRight w:val="0"/>
      <w:marTop w:val="0"/>
      <w:marBottom w:val="0"/>
      <w:divBdr>
        <w:top w:val="none" w:sz="0" w:space="0" w:color="auto"/>
        <w:left w:val="none" w:sz="0" w:space="0" w:color="auto"/>
        <w:bottom w:val="none" w:sz="0" w:space="0" w:color="auto"/>
        <w:right w:val="none" w:sz="0" w:space="0" w:color="auto"/>
      </w:divBdr>
    </w:div>
    <w:div w:id="1131509190">
      <w:bodyDiv w:val="1"/>
      <w:marLeft w:val="0"/>
      <w:marRight w:val="0"/>
      <w:marTop w:val="0"/>
      <w:marBottom w:val="0"/>
      <w:divBdr>
        <w:top w:val="none" w:sz="0" w:space="0" w:color="auto"/>
        <w:left w:val="none" w:sz="0" w:space="0" w:color="auto"/>
        <w:bottom w:val="none" w:sz="0" w:space="0" w:color="auto"/>
        <w:right w:val="none" w:sz="0" w:space="0" w:color="auto"/>
      </w:divBdr>
    </w:div>
    <w:div w:id="1144271525">
      <w:bodyDiv w:val="1"/>
      <w:marLeft w:val="0"/>
      <w:marRight w:val="0"/>
      <w:marTop w:val="0"/>
      <w:marBottom w:val="0"/>
      <w:divBdr>
        <w:top w:val="none" w:sz="0" w:space="0" w:color="auto"/>
        <w:left w:val="none" w:sz="0" w:space="0" w:color="auto"/>
        <w:bottom w:val="none" w:sz="0" w:space="0" w:color="auto"/>
        <w:right w:val="none" w:sz="0" w:space="0" w:color="auto"/>
      </w:divBdr>
    </w:div>
    <w:div w:id="1180654327">
      <w:bodyDiv w:val="1"/>
      <w:marLeft w:val="0"/>
      <w:marRight w:val="0"/>
      <w:marTop w:val="0"/>
      <w:marBottom w:val="0"/>
      <w:divBdr>
        <w:top w:val="none" w:sz="0" w:space="0" w:color="auto"/>
        <w:left w:val="none" w:sz="0" w:space="0" w:color="auto"/>
        <w:bottom w:val="none" w:sz="0" w:space="0" w:color="auto"/>
        <w:right w:val="none" w:sz="0" w:space="0" w:color="auto"/>
      </w:divBdr>
    </w:div>
    <w:div w:id="1201473221">
      <w:bodyDiv w:val="1"/>
      <w:marLeft w:val="0"/>
      <w:marRight w:val="0"/>
      <w:marTop w:val="0"/>
      <w:marBottom w:val="0"/>
      <w:divBdr>
        <w:top w:val="none" w:sz="0" w:space="0" w:color="auto"/>
        <w:left w:val="none" w:sz="0" w:space="0" w:color="auto"/>
        <w:bottom w:val="none" w:sz="0" w:space="0" w:color="auto"/>
        <w:right w:val="none" w:sz="0" w:space="0" w:color="auto"/>
      </w:divBdr>
    </w:div>
    <w:div w:id="1206409887">
      <w:bodyDiv w:val="1"/>
      <w:marLeft w:val="0"/>
      <w:marRight w:val="0"/>
      <w:marTop w:val="0"/>
      <w:marBottom w:val="0"/>
      <w:divBdr>
        <w:top w:val="none" w:sz="0" w:space="0" w:color="auto"/>
        <w:left w:val="none" w:sz="0" w:space="0" w:color="auto"/>
        <w:bottom w:val="none" w:sz="0" w:space="0" w:color="auto"/>
        <w:right w:val="none" w:sz="0" w:space="0" w:color="auto"/>
      </w:divBdr>
    </w:div>
    <w:div w:id="1294678300">
      <w:bodyDiv w:val="1"/>
      <w:marLeft w:val="0"/>
      <w:marRight w:val="0"/>
      <w:marTop w:val="0"/>
      <w:marBottom w:val="0"/>
      <w:divBdr>
        <w:top w:val="none" w:sz="0" w:space="0" w:color="auto"/>
        <w:left w:val="none" w:sz="0" w:space="0" w:color="auto"/>
        <w:bottom w:val="none" w:sz="0" w:space="0" w:color="auto"/>
        <w:right w:val="none" w:sz="0" w:space="0" w:color="auto"/>
      </w:divBdr>
    </w:div>
    <w:div w:id="1314140602">
      <w:bodyDiv w:val="1"/>
      <w:marLeft w:val="0"/>
      <w:marRight w:val="0"/>
      <w:marTop w:val="0"/>
      <w:marBottom w:val="0"/>
      <w:divBdr>
        <w:top w:val="none" w:sz="0" w:space="0" w:color="auto"/>
        <w:left w:val="none" w:sz="0" w:space="0" w:color="auto"/>
        <w:bottom w:val="none" w:sz="0" w:space="0" w:color="auto"/>
        <w:right w:val="none" w:sz="0" w:space="0" w:color="auto"/>
      </w:divBdr>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
    <w:div w:id="1371805856">
      <w:bodyDiv w:val="1"/>
      <w:marLeft w:val="0"/>
      <w:marRight w:val="0"/>
      <w:marTop w:val="0"/>
      <w:marBottom w:val="0"/>
      <w:divBdr>
        <w:top w:val="none" w:sz="0" w:space="0" w:color="auto"/>
        <w:left w:val="none" w:sz="0" w:space="0" w:color="auto"/>
        <w:bottom w:val="none" w:sz="0" w:space="0" w:color="auto"/>
        <w:right w:val="none" w:sz="0" w:space="0" w:color="auto"/>
      </w:divBdr>
    </w:div>
    <w:div w:id="1429543868">
      <w:bodyDiv w:val="1"/>
      <w:marLeft w:val="0"/>
      <w:marRight w:val="0"/>
      <w:marTop w:val="0"/>
      <w:marBottom w:val="0"/>
      <w:divBdr>
        <w:top w:val="none" w:sz="0" w:space="0" w:color="auto"/>
        <w:left w:val="none" w:sz="0" w:space="0" w:color="auto"/>
        <w:bottom w:val="none" w:sz="0" w:space="0" w:color="auto"/>
        <w:right w:val="none" w:sz="0" w:space="0" w:color="auto"/>
      </w:divBdr>
    </w:div>
    <w:div w:id="1446345582">
      <w:bodyDiv w:val="1"/>
      <w:marLeft w:val="0"/>
      <w:marRight w:val="0"/>
      <w:marTop w:val="0"/>
      <w:marBottom w:val="0"/>
      <w:divBdr>
        <w:top w:val="none" w:sz="0" w:space="0" w:color="auto"/>
        <w:left w:val="none" w:sz="0" w:space="0" w:color="auto"/>
        <w:bottom w:val="none" w:sz="0" w:space="0" w:color="auto"/>
        <w:right w:val="none" w:sz="0" w:space="0" w:color="auto"/>
      </w:divBdr>
    </w:div>
    <w:div w:id="1461026261">
      <w:bodyDiv w:val="1"/>
      <w:marLeft w:val="0"/>
      <w:marRight w:val="0"/>
      <w:marTop w:val="0"/>
      <w:marBottom w:val="0"/>
      <w:divBdr>
        <w:top w:val="none" w:sz="0" w:space="0" w:color="auto"/>
        <w:left w:val="none" w:sz="0" w:space="0" w:color="auto"/>
        <w:bottom w:val="none" w:sz="0" w:space="0" w:color="auto"/>
        <w:right w:val="none" w:sz="0" w:space="0" w:color="auto"/>
      </w:divBdr>
    </w:div>
    <w:div w:id="1474910154">
      <w:bodyDiv w:val="1"/>
      <w:marLeft w:val="0"/>
      <w:marRight w:val="0"/>
      <w:marTop w:val="0"/>
      <w:marBottom w:val="0"/>
      <w:divBdr>
        <w:top w:val="none" w:sz="0" w:space="0" w:color="auto"/>
        <w:left w:val="none" w:sz="0" w:space="0" w:color="auto"/>
        <w:bottom w:val="none" w:sz="0" w:space="0" w:color="auto"/>
        <w:right w:val="none" w:sz="0" w:space="0" w:color="auto"/>
      </w:divBdr>
    </w:div>
    <w:div w:id="1496647157">
      <w:bodyDiv w:val="1"/>
      <w:marLeft w:val="0"/>
      <w:marRight w:val="0"/>
      <w:marTop w:val="0"/>
      <w:marBottom w:val="0"/>
      <w:divBdr>
        <w:top w:val="none" w:sz="0" w:space="0" w:color="auto"/>
        <w:left w:val="none" w:sz="0" w:space="0" w:color="auto"/>
        <w:bottom w:val="none" w:sz="0" w:space="0" w:color="auto"/>
        <w:right w:val="none" w:sz="0" w:space="0" w:color="auto"/>
      </w:divBdr>
    </w:div>
    <w:div w:id="1500923497">
      <w:bodyDiv w:val="1"/>
      <w:marLeft w:val="0"/>
      <w:marRight w:val="0"/>
      <w:marTop w:val="0"/>
      <w:marBottom w:val="0"/>
      <w:divBdr>
        <w:top w:val="none" w:sz="0" w:space="0" w:color="auto"/>
        <w:left w:val="none" w:sz="0" w:space="0" w:color="auto"/>
        <w:bottom w:val="none" w:sz="0" w:space="0" w:color="auto"/>
        <w:right w:val="none" w:sz="0" w:space="0" w:color="auto"/>
      </w:divBdr>
    </w:div>
    <w:div w:id="1558397984">
      <w:bodyDiv w:val="1"/>
      <w:marLeft w:val="0"/>
      <w:marRight w:val="0"/>
      <w:marTop w:val="0"/>
      <w:marBottom w:val="0"/>
      <w:divBdr>
        <w:top w:val="none" w:sz="0" w:space="0" w:color="auto"/>
        <w:left w:val="none" w:sz="0" w:space="0" w:color="auto"/>
        <w:bottom w:val="none" w:sz="0" w:space="0" w:color="auto"/>
        <w:right w:val="none" w:sz="0" w:space="0" w:color="auto"/>
      </w:divBdr>
    </w:div>
    <w:div w:id="1562251665">
      <w:bodyDiv w:val="1"/>
      <w:marLeft w:val="0"/>
      <w:marRight w:val="0"/>
      <w:marTop w:val="0"/>
      <w:marBottom w:val="0"/>
      <w:divBdr>
        <w:top w:val="none" w:sz="0" w:space="0" w:color="auto"/>
        <w:left w:val="none" w:sz="0" w:space="0" w:color="auto"/>
        <w:bottom w:val="none" w:sz="0" w:space="0" w:color="auto"/>
        <w:right w:val="none" w:sz="0" w:space="0" w:color="auto"/>
      </w:divBdr>
    </w:div>
    <w:div w:id="1566187769">
      <w:bodyDiv w:val="1"/>
      <w:marLeft w:val="0"/>
      <w:marRight w:val="0"/>
      <w:marTop w:val="0"/>
      <w:marBottom w:val="0"/>
      <w:divBdr>
        <w:top w:val="none" w:sz="0" w:space="0" w:color="auto"/>
        <w:left w:val="none" w:sz="0" w:space="0" w:color="auto"/>
        <w:bottom w:val="none" w:sz="0" w:space="0" w:color="auto"/>
        <w:right w:val="none" w:sz="0" w:space="0" w:color="auto"/>
      </w:divBdr>
    </w:div>
    <w:div w:id="1630161270">
      <w:bodyDiv w:val="1"/>
      <w:marLeft w:val="0"/>
      <w:marRight w:val="0"/>
      <w:marTop w:val="0"/>
      <w:marBottom w:val="0"/>
      <w:divBdr>
        <w:top w:val="none" w:sz="0" w:space="0" w:color="auto"/>
        <w:left w:val="none" w:sz="0" w:space="0" w:color="auto"/>
        <w:bottom w:val="none" w:sz="0" w:space="0" w:color="auto"/>
        <w:right w:val="none" w:sz="0" w:space="0" w:color="auto"/>
      </w:divBdr>
    </w:div>
    <w:div w:id="1746957283">
      <w:bodyDiv w:val="1"/>
      <w:marLeft w:val="0"/>
      <w:marRight w:val="0"/>
      <w:marTop w:val="0"/>
      <w:marBottom w:val="0"/>
      <w:divBdr>
        <w:top w:val="none" w:sz="0" w:space="0" w:color="auto"/>
        <w:left w:val="none" w:sz="0" w:space="0" w:color="auto"/>
        <w:bottom w:val="none" w:sz="0" w:space="0" w:color="auto"/>
        <w:right w:val="none" w:sz="0" w:space="0" w:color="auto"/>
      </w:divBdr>
    </w:div>
    <w:div w:id="1750737301">
      <w:bodyDiv w:val="1"/>
      <w:marLeft w:val="0"/>
      <w:marRight w:val="0"/>
      <w:marTop w:val="0"/>
      <w:marBottom w:val="0"/>
      <w:divBdr>
        <w:top w:val="none" w:sz="0" w:space="0" w:color="auto"/>
        <w:left w:val="none" w:sz="0" w:space="0" w:color="auto"/>
        <w:bottom w:val="none" w:sz="0" w:space="0" w:color="auto"/>
        <w:right w:val="none" w:sz="0" w:space="0" w:color="auto"/>
      </w:divBdr>
    </w:div>
    <w:div w:id="1756169208">
      <w:bodyDiv w:val="1"/>
      <w:marLeft w:val="0"/>
      <w:marRight w:val="0"/>
      <w:marTop w:val="0"/>
      <w:marBottom w:val="0"/>
      <w:divBdr>
        <w:top w:val="none" w:sz="0" w:space="0" w:color="auto"/>
        <w:left w:val="none" w:sz="0" w:space="0" w:color="auto"/>
        <w:bottom w:val="none" w:sz="0" w:space="0" w:color="auto"/>
        <w:right w:val="none" w:sz="0" w:space="0" w:color="auto"/>
      </w:divBdr>
    </w:div>
    <w:div w:id="1793741379">
      <w:bodyDiv w:val="1"/>
      <w:marLeft w:val="0"/>
      <w:marRight w:val="0"/>
      <w:marTop w:val="0"/>
      <w:marBottom w:val="0"/>
      <w:divBdr>
        <w:top w:val="none" w:sz="0" w:space="0" w:color="auto"/>
        <w:left w:val="none" w:sz="0" w:space="0" w:color="auto"/>
        <w:bottom w:val="none" w:sz="0" w:space="0" w:color="auto"/>
        <w:right w:val="none" w:sz="0" w:space="0" w:color="auto"/>
      </w:divBdr>
    </w:div>
    <w:div w:id="1797286025">
      <w:bodyDiv w:val="1"/>
      <w:marLeft w:val="0"/>
      <w:marRight w:val="0"/>
      <w:marTop w:val="0"/>
      <w:marBottom w:val="0"/>
      <w:divBdr>
        <w:top w:val="none" w:sz="0" w:space="0" w:color="auto"/>
        <w:left w:val="none" w:sz="0" w:space="0" w:color="auto"/>
        <w:bottom w:val="none" w:sz="0" w:space="0" w:color="auto"/>
        <w:right w:val="none" w:sz="0" w:space="0" w:color="auto"/>
      </w:divBdr>
    </w:div>
    <w:div w:id="1810245289">
      <w:bodyDiv w:val="1"/>
      <w:marLeft w:val="0"/>
      <w:marRight w:val="0"/>
      <w:marTop w:val="0"/>
      <w:marBottom w:val="0"/>
      <w:divBdr>
        <w:top w:val="none" w:sz="0" w:space="0" w:color="auto"/>
        <w:left w:val="none" w:sz="0" w:space="0" w:color="auto"/>
        <w:bottom w:val="none" w:sz="0" w:space="0" w:color="auto"/>
        <w:right w:val="none" w:sz="0" w:space="0" w:color="auto"/>
      </w:divBdr>
    </w:div>
    <w:div w:id="1850606859">
      <w:bodyDiv w:val="1"/>
      <w:marLeft w:val="0"/>
      <w:marRight w:val="0"/>
      <w:marTop w:val="0"/>
      <w:marBottom w:val="0"/>
      <w:divBdr>
        <w:top w:val="none" w:sz="0" w:space="0" w:color="auto"/>
        <w:left w:val="none" w:sz="0" w:space="0" w:color="auto"/>
        <w:bottom w:val="none" w:sz="0" w:space="0" w:color="auto"/>
        <w:right w:val="none" w:sz="0" w:space="0" w:color="auto"/>
      </w:divBdr>
    </w:div>
    <w:div w:id="1869414654">
      <w:bodyDiv w:val="1"/>
      <w:marLeft w:val="0"/>
      <w:marRight w:val="0"/>
      <w:marTop w:val="0"/>
      <w:marBottom w:val="0"/>
      <w:divBdr>
        <w:top w:val="none" w:sz="0" w:space="0" w:color="auto"/>
        <w:left w:val="none" w:sz="0" w:space="0" w:color="auto"/>
        <w:bottom w:val="none" w:sz="0" w:space="0" w:color="auto"/>
        <w:right w:val="none" w:sz="0" w:space="0" w:color="auto"/>
      </w:divBdr>
    </w:div>
    <w:div w:id="1871382661">
      <w:bodyDiv w:val="1"/>
      <w:marLeft w:val="0"/>
      <w:marRight w:val="0"/>
      <w:marTop w:val="0"/>
      <w:marBottom w:val="0"/>
      <w:divBdr>
        <w:top w:val="none" w:sz="0" w:space="0" w:color="auto"/>
        <w:left w:val="none" w:sz="0" w:space="0" w:color="auto"/>
        <w:bottom w:val="none" w:sz="0" w:space="0" w:color="auto"/>
        <w:right w:val="none" w:sz="0" w:space="0" w:color="auto"/>
      </w:divBdr>
    </w:div>
    <w:div w:id="1876381126">
      <w:bodyDiv w:val="1"/>
      <w:marLeft w:val="0"/>
      <w:marRight w:val="0"/>
      <w:marTop w:val="0"/>
      <w:marBottom w:val="0"/>
      <w:divBdr>
        <w:top w:val="none" w:sz="0" w:space="0" w:color="auto"/>
        <w:left w:val="none" w:sz="0" w:space="0" w:color="auto"/>
        <w:bottom w:val="none" w:sz="0" w:space="0" w:color="auto"/>
        <w:right w:val="none" w:sz="0" w:space="0" w:color="auto"/>
      </w:divBdr>
    </w:div>
    <w:div w:id="1886018303">
      <w:bodyDiv w:val="1"/>
      <w:marLeft w:val="0"/>
      <w:marRight w:val="0"/>
      <w:marTop w:val="0"/>
      <w:marBottom w:val="0"/>
      <w:divBdr>
        <w:top w:val="none" w:sz="0" w:space="0" w:color="auto"/>
        <w:left w:val="none" w:sz="0" w:space="0" w:color="auto"/>
        <w:bottom w:val="none" w:sz="0" w:space="0" w:color="auto"/>
        <w:right w:val="none" w:sz="0" w:space="0" w:color="auto"/>
      </w:divBdr>
    </w:div>
    <w:div w:id="1888030827">
      <w:bodyDiv w:val="1"/>
      <w:marLeft w:val="0"/>
      <w:marRight w:val="0"/>
      <w:marTop w:val="0"/>
      <w:marBottom w:val="0"/>
      <w:divBdr>
        <w:top w:val="none" w:sz="0" w:space="0" w:color="auto"/>
        <w:left w:val="none" w:sz="0" w:space="0" w:color="auto"/>
        <w:bottom w:val="none" w:sz="0" w:space="0" w:color="auto"/>
        <w:right w:val="none" w:sz="0" w:space="0" w:color="auto"/>
      </w:divBdr>
    </w:div>
    <w:div w:id="1907104562">
      <w:bodyDiv w:val="1"/>
      <w:marLeft w:val="0"/>
      <w:marRight w:val="0"/>
      <w:marTop w:val="0"/>
      <w:marBottom w:val="0"/>
      <w:divBdr>
        <w:top w:val="none" w:sz="0" w:space="0" w:color="auto"/>
        <w:left w:val="none" w:sz="0" w:space="0" w:color="auto"/>
        <w:bottom w:val="none" w:sz="0" w:space="0" w:color="auto"/>
        <w:right w:val="none" w:sz="0" w:space="0" w:color="auto"/>
      </w:divBdr>
    </w:div>
    <w:div w:id="1909270222">
      <w:bodyDiv w:val="1"/>
      <w:marLeft w:val="0"/>
      <w:marRight w:val="0"/>
      <w:marTop w:val="0"/>
      <w:marBottom w:val="0"/>
      <w:divBdr>
        <w:top w:val="none" w:sz="0" w:space="0" w:color="auto"/>
        <w:left w:val="none" w:sz="0" w:space="0" w:color="auto"/>
        <w:bottom w:val="none" w:sz="0" w:space="0" w:color="auto"/>
        <w:right w:val="none" w:sz="0" w:space="0" w:color="auto"/>
      </w:divBdr>
    </w:div>
    <w:div w:id="1909412041">
      <w:bodyDiv w:val="1"/>
      <w:marLeft w:val="0"/>
      <w:marRight w:val="0"/>
      <w:marTop w:val="0"/>
      <w:marBottom w:val="0"/>
      <w:divBdr>
        <w:top w:val="none" w:sz="0" w:space="0" w:color="auto"/>
        <w:left w:val="none" w:sz="0" w:space="0" w:color="auto"/>
        <w:bottom w:val="none" w:sz="0" w:space="0" w:color="auto"/>
        <w:right w:val="none" w:sz="0" w:space="0" w:color="auto"/>
      </w:divBdr>
    </w:div>
    <w:div w:id="1917014202">
      <w:bodyDiv w:val="1"/>
      <w:marLeft w:val="0"/>
      <w:marRight w:val="0"/>
      <w:marTop w:val="0"/>
      <w:marBottom w:val="0"/>
      <w:divBdr>
        <w:top w:val="none" w:sz="0" w:space="0" w:color="auto"/>
        <w:left w:val="none" w:sz="0" w:space="0" w:color="auto"/>
        <w:bottom w:val="none" w:sz="0" w:space="0" w:color="auto"/>
        <w:right w:val="none" w:sz="0" w:space="0" w:color="auto"/>
      </w:divBdr>
    </w:div>
    <w:div w:id="1928296862">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40135201">
      <w:bodyDiv w:val="1"/>
      <w:marLeft w:val="0"/>
      <w:marRight w:val="0"/>
      <w:marTop w:val="0"/>
      <w:marBottom w:val="0"/>
      <w:divBdr>
        <w:top w:val="none" w:sz="0" w:space="0" w:color="auto"/>
        <w:left w:val="none" w:sz="0" w:space="0" w:color="auto"/>
        <w:bottom w:val="none" w:sz="0" w:space="0" w:color="auto"/>
        <w:right w:val="none" w:sz="0" w:space="0" w:color="auto"/>
      </w:divBdr>
    </w:div>
    <w:div w:id="1941058244">
      <w:bodyDiv w:val="1"/>
      <w:marLeft w:val="0"/>
      <w:marRight w:val="0"/>
      <w:marTop w:val="0"/>
      <w:marBottom w:val="0"/>
      <w:divBdr>
        <w:top w:val="none" w:sz="0" w:space="0" w:color="auto"/>
        <w:left w:val="none" w:sz="0" w:space="0" w:color="auto"/>
        <w:bottom w:val="none" w:sz="0" w:space="0" w:color="auto"/>
        <w:right w:val="none" w:sz="0" w:space="0" w:color="auto"/>
      </w:divBdr>
    </w:div>
    <w:div w:id="1951735797">
      <w:bodyDiv w:val="1"/>
      <w:marLeft w:val="0"/>
      <w:marRight w:val="0"/>
      <w:marTop w:val="0"/>
      <w:marBottom w:val="0"/>
      <w:divBdr>
        <w:top w:val="none" w:sz="0" w:space="0" w:color="auto"/>
        <w:left w:val="none" w:sz="0" w:space="0" w:color="auto"/>
        <w:bottom w:val="none" w:sz="0" w:space="0" w:color="auto"/>
        <w:right w:val="none" w:sz="0" w:space="0" w:color="auto"/>
      </w:divBdr>
    </w:div>
    <w:div w:id="1958903390">
      <w:bodyDiv w:val="1"/>
      <w:marLeft w:val="0"/>
      <w:marRight w:val="0"/>
      <w:marTop w:val="0"/>
      <w:marBottom w:val="0"/>
      <w:divBdr>
        <w:top w:val="none" w:sz="0" w:space="0" w:color="auto"/>
        <w:left w:val="none" w:sz="0" w:space="0" w:color="auto"/>
        <w:bottom w:val="none" w:sz="0" w:space="0" w:color="auto"/>
        <w:right w:val="none" w:sz="0" w:space="0" w:color="auto"/>
      </w:divBdr>
    </w:div>
    <w:div w:id="1978871598">
      <w:bodyDiv w:val="1"/>
      <w:marLeft w:val="0"/>
      <w:marRight w:val="0"/>
      <w:marTop w:val="0"/>
      <w:marBottom w:val="0"/>
      <w:divBdr>
        <w:top w:val="none" w:sz="0" w:space="0" w:color="auto"/>
        <w:left w:val="none" w:sz="0" w:space="0" w:color="auto"/>
        <w:bottom w:val="none" w:sz="0" w:space="0" w:color="auto"/>
        <w:right w:val="none" w:sz="0" w:space="0" w:color="auto"/>
      </w:divBdr>
    </w:div>
    <w:div w:id="1987584152">
      <w:bodyDiv w:val="1"/>
      <w:marLeft w:val="0"/>
      <w:marRight w:val="0"/>
      <w:marTop w:val="0"/>
      <w:marBottom w:val="0"/>
      <w:divBdr>
        <w:top w:val="none" w:sz="0" w:space="0" w:color="auto"/>
        <w:left w:val="none" w:sz="0" w:space="0" w:color="auto"/>
        <w:bottom w:val="none" w:sz="0" w:space="0" w:color="auto"/>
        <w:right w:val="none" w:sz="0" w:space="0" w:color="auto"/>
      </w:divBdr>
    </w:div>
    <w:div w:id="1988121206">
      <w:bodyDiv w:val="1"/>
      <w:marLeft w:val="0"/>
      <w:marRight w:val="0"/>
      <w:marTop w:val="0"/>
      <w:marBottom w:val="0"/>
      <w:divBdr>
        <w:top w:val="none" w:sz="0" w:space="0" w:color="auto"/>
        <w:left w:val="none" w:sz="0" w:space="0" w:color="auto"/>
        <w:bottom w:val="none" w:sz="0" w:space="0" w:color="auto"/>
        <w:right w:val="none" w:sz="0" w:space="0" w:color="auto"/>
      </w:divBdr>
    </w:div>
    <w:div w:id="2028365707">
      <w:bodyDiv w:val="1"/>
      <w:marLeft w:val="0"/>
      <w:marRight w:val="0"/>
      <w:marTop w:val="0"/>
      <w:marBottom w:val="0"/>
      <w:divBdr>
        <w:top w:val="none" w:sz="0" w:space="0" w:color="auto"/>
        <w:left w:val="none" w:sz="0" w:space="0" w:color="auto"/>
        <w:bottom w:val="none" w:sz="0" w:space="0" w:color="auto"/>
        <w:right w:val="none" w:sz="0" w:space="0" w:color="auto"/>
      </w:divBdr>
    </w:div>
    <w:div w:id="2034651408">
      <w:bodyDiv w:val="1"/>
      <w:marLeft w:val="0"/>
      <w:marRight w:val="0"/>
      <w:marTop w:val="0"/>
      <w:marBottom w:val="0"/>
      <w:divBdr>
        <w:top w:val="none" w:sz="0" w:space="0" w:color="auto"/>
        <w:left w:val="none" w:sz="0" w:space="0" w:color="auto"/>
        <w:bottom w:val="none" w:sz="0" w:space="0" w:color="auto"/>
        <w:right w:val="none" w:sz="0" w:space="0" w:color="auto"/>
      </w:divBdr>
    </w:div>
    <w:div w:id="2057849803">
      <w:bodyDiv w:val="1"/>
      <w:marLeft w:val="0"/>
      <w:marRight w:val="0"/>
      <w:marTop w:val="0"/>
      <w:marBottom w:val="0"/>
      <w:divBdr>
        <w:top w:val="none" w:sz="0" w:space="0" w:color="auto"/>
        <w:left w:val="none" w:sz="0" w:space="0" w:color="auto"/>
        <w:bottom w:val="none" w:sz="0" w:space="0" w:color="auto"/>
        <w:right w:val="none" w:sz="0" w:space="0" w:color="auto"/>
      </w:divBdr>
    </w:div>
    <w:div w:id="2093119363">
      <w:bodyDiv w:val="1"/>
      <w:marLeft w:val="0"/>
      <w:marRight w:val="0"/>
      <w:marTop w:val="0"/>
      <w:marBottom w:val="0"/>
      <w:divBdr>
        <w:top w:val="none" w:sz="0" w:space="0" w:color="auto"/>
        <w:left w:val="none" w:sz="0" w:space="0" w:color="auto"/>
        <w:bottom w:val="none" w:sz="0" w:space="0" w:color="auto"/>
        <w:right w:val="none" w:sz="0" w:space="0" w:color="auto"/>
      </w:divBdr>
    </w:div>
    <w:div w:id="2113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1DDD-2DD7-4D7B-8BCF-0666EA08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DRAFT AGENDA ITEM</vt:lpstr>
    </vt:vector>
  </TitlesOfParts>
  <Company>Runnymede Borough Council</Company>
  <LinksUpToDate>false</LinksUpToDate>
  <CharactersWithSpaces>17347</CharactersWithSpaces>
  <SharedDoc>false</SharedDoc>
  <HLinks>
    <vt:vector size="18" baseType="variant">
      <vt:variant>
        <vt:i4>327750</vt:i4>
      </vt:variant>
      <vt:variant>
        <vt:i4>3</vt:i4>
      </vt:variant>
      <vt:variant>
        <vt:i4>0</vt:i4>
      </vt:variant>
      <vt:variant>
        <vt:i4>5</vt:i4>
      </vt:variant>
      <vt:variant>
        <vt:lpwstr>http://www.runnymede.gov.uk/</vt:lpwstr>
      </vt:variant>
      <vt:variant>
        <vt:lpwstr/>
      </vt:variant>
      <vt:variant>
        <vt:i4>3735562</vt:i4>
      </vt:variant>
      <vt:variant>
        <vt:i4>0</vt:i4>
      </vt:variant>
      <vt:variant>
        <vt:i4>0</vt:i4>
      </vt:variant>
      <vt:variant>
        <vt:i4>5</vt:i4>
      </vt:variant>
      <vt:variant>
        <vt:lpwstr>mailto:john.gurmin@runnymede.gov.uk</vt:lpwstr>
      </vt:variant>
      <vt:variant>
        <vt:lpwstr/>
      </vt:variant>
      <vt:variant>
        <vt:i4>7405603</vt:i4>
      </vt:variant>
      <vt:variant>
        <vt:i4>4844</vt:i4>
      </vt:variant>
      <vt:variant>
        <vt:i4>1025</vt:i4>
      </vt:variant>
      <vt:variant>
        <vt:i4>1</vt:i4>
      </vt:variant>
      <vt:variant>
        <vt:lpwstr>http://rbcintranet03/home/staff/communications/Translations/CS_Translation_Text.jpg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ITEM</dc:title>
  <dc:creator>Denise Morley</dc:creator>
  <cp:lastModifiedBy>Paul French</cp:lastModifiedBy>
  <cp:revision>2</cp:revision>
  <cp:lastPrinted>2016-08-15T11:17:00Z</cp:lastPrinted>
  <dcterms:created xsi:type="dcterms:W3CDTF">2018-02-02T13:23:00Z</dcterms:created>
  <dcterms:modified xsi:type="dcterms:W3CDTF">2018-02-02T13:23:00Z</dcterms:modified>
</cp:coreProperties>
</file>