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78D" w:rsidRPr="00455FD7" w:rsidRDefault="006823C2" w:rsidP="00F21659">
      <w:pPr>
        <w:tabs>
          <w:tab w:val="left" w:pos="720"/>
        </w:tabs>
        <w:ind w:left="720" w:hanging="720"/>
        <w:rPr>
          <w:rFonts w:ascii="Arial" w:hAnsi="Arial" w:cs="Arial"/>
          <w:b/>
          <w:sz w:val="22"/>
          <w:szCs w:val="22"/>
        </w:rPr>
      </w:pPr>
      <w:bookmarkStart w:id="0" w:name="_GoBack"/>
      <w:bookmarkEnd w:id="0"/>
      <w:r>
        <w:rPr>
          <w:rFonts w:ascii="Arial" w:hAnsi="Arial" w:cs="Arial"/>
          <w:b/>
          <w:sz w:val="22"/>
          <w:szCs w:val="22"/>
        </w:rPr>
        <w:tab/>
      </w:r>
      <w:r w:rsidR="0014578D" w:rsidRPr="00455FD7">
        <w:rPr>
          <w:rFonts w:ascii="Arial" w:hAnsi="Arial" w:cs="Arial"/>
          <w:b/>
          <w:sz w:val="22"/>
          <w:szCs w:val="22"/>
        </w:rPr>
        <w:t xml:space="preserve">BUDGET MONITORING </w:t>
      </w:r>
      <w:r w:rsidR="000B7005" w:rsidRPr="00455FD7">
        <w:rPr>
          <w:rFonts w:ascii="Arial" w:hAnsi="Arial" w:cs="Arial"/>
          <w:b/>
          <w:sz w:val="22"/>
          <w:szCs w:val="22"/>
        </w:rPr>
        <w:t>REPORT - APRIL</w:t>
      </w:r>
      <w:r w:rsidR="0014578D" w:rsidRPr="00455FD7">
        <w:rPr>
          <w:rFonts w:ascii="Arial" w:hAnsi="Arial" w:cs="Arial"/>
          <w:b/>
          <w:sz w:val="22"/>
          <w:szCs w:val="22"/>
        </w:rPr>
        <w:t xml:space="preserve"> </w:t>
      </w:r>
      <w:r w:rsidR="00A9127C" w:rsidRPr="00455FD7">
        <w:rPr>
          <w:rFonts w:ascii="Arial" w:hAnsi="Arial" w:cs="Arial"/>
          <w:b/>
          <w:sz w:val="22"/>
          <w:szCs w:val="22"/>
        </w:rPr>
        <w:t>2016</w:t>
      </w:r>
      <w:r w:rsidR="00043294" w:rsidRPr="00455FD7">
        <w:rPr>
          <w:rFonts w:ascii="Arial" w:hAnsi="Arial" w:cs="Arial"/>
          <w:b/>
          <w:sz w:val="22"/>
          <w:szCs w:val="22"/>
        </w:rPr>
        <w:t xml:space="preserve"> </w:t>
      </w:r>
      <w:r w:rsidR="0014578D" w:rsidRPr="00455FD7">
        <w:rPr>
          <w:rFonts w:ascii="Arial" w:hAnsi="Arial" w:cs="Arial"/>
          <w:b/>
          <w:sz w:val="22"/>
          <w:szCs w:val="22"/>
        </w:rPr>
        <w:t>T</w:t>
      </w:r>
      <w:r w:rsidR="00D12622" w:rsidRPr="00455FD7">
        <w:rPr>
          <w:rFonts w:ascii="Arial" w:hAnsi="Arial" w:cs="Arial"/>
          <w:b/>
          <w:sz w:val="22"/>
          <w:szCs w:val="22"/>
        </w:rPr>
        <w:t>O</w:t>
      </w:r>
      <w:r w:rsidR="0014578D" w:rsidRPr="00455FD7">
        <w:rPr>
          <w:rFonts w:ascii="Arial" w:hAnsi="Arial" w:cs="Arial"/>
          <w:b/>
          <w:sz w:val="22"/>
          <w:szCs w:val="22"/>
        </w:rPr>
        <w:t xml:space="preserve"> </w:t>
      </w:r>
      <w:r w:rsidR="00FA37FE" w:rsidRPr="00455FD7">
        <w:rPr>
          <w:rFonts w:ascii="Arial" w:hAnsi="Arial" w:cs="Arial"/>
          <w:b/>
          <w:sz w:val="22"/>
          <w:szCs w:val="22"/>
        </w:rPr>
        <w:t>SEPTEMBER</w:t>
      </w:r>
      <w:r w:rsidR="0014578D" w:rsidRPr="00455FD7">
        <w:rPr>
          <w:rFonts w:ascii="Arial" w:hAnsi="Arial" w:cs="Arial"/>
          <w:b/>
          <w:sz w:val="22"/>
          <w:szCs w:val="22"/>
        </w:rPr>
        <w:t xml:space="preserve"> 201</w:t>
      </w:r>
      <w:r w:rsidR="00A9127C" w:rsidRPr="00455FD7">
        <w:rPr>
          <w:rFonts w:ascii="Arial" w:hAnsi="Arial" w:cs="Arial"/>
          <w:b/>
          <w:sz w:val="22"/>
          <w:szCs w:val="22"/>
        </w:rPr>
        <w:t>6</w:t>
      </w:r>
      <w:r w:rsidR="00FC30CD" w:rsidRPr="00455FD7">
        <w:rPr>
          <w:rFonts w:ascii="Arial" w:hAnsi="Arial" w:cs="Arial"/>
          <w:b/>
          <w:sz w:val="22"/>
          <w:szCs w:val="22"/>
        </w:rPr>
        <w:t xml:space="preserve"> (</w:t>
      </w:r>
      <w:r w:rsidR="00455FD7">
        <w:rPr>
          <w:rFonts w:ascii="Arial" w:hAnsi="Arial" w:cs="Arial"/>
          <w:b/>
          <w:sz w:val="22"/>
          <w:szCs w:val="22"/>
        </w:rPr>
        <w:t>RESOURCES</w:t>
      </w:r>
      <w:r w:rsidR="00FC30CD" w:rsidRPr="00455FD7">
        <w:rPr>
          <w:rFonts w:ascii="Arial" w:hAnsi="Arial" w:cs="Arial"/>
          <w:b/>
          <w:sz w:val="22"/>
          <w:szCs w:val="22"/>
        </w:rPr>
        <w:t>)</w:t>
      </w:r>
    </w:p>
    <w:p w:rsidR="006823C2" w:rsidRDefault="006823C2" w:rsidP="00F21659">
      <w:pPr>
        <w:tabs>
          <w:tab w:val="left" w:pos="720"/>
        </w:tabs>
        <w:ind w:left="720" w:hanging="720"/>
        <w:rPr>
          <w:rFonts w:ascii="Arial" w:hAnsi="Arial" w:cs="Arial"/>
          <w:b/>
          <w:sz w:val="22"/>
          <w:szCs w:val="22"/>
        </w:rPr>
      </w:pPr>
    </w:p>
    <w:tbl>
      <w:tblPr>
        <w:tblW w:w="0" w:type="auto"/>
        <w:tblInd w:w="8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19"/>
      </w:tblGrid>
      <w:tr w:rsidR="005D0209" w:rsidRPr="00501C8E" w:rsidTr="00F21659">
        <w:tc>
          <w:tcPr>
            <w:tcW w:w="8919" w:type="dxa"/>
            <w:shd w:val="clear" w:color="auto" w:fill="auto"/>
          </w:tcPr>
          <w:p w:rsidR="005D0209" w:rsidRPr="00501C8E" w:rsidRDefault="005D0209" w:rsidP="00F21659">
            <w:pPr>
              <w:tabs>
                <w:tab w:val="left" w:pos="720"/>
                <w:tab w:val="left" w:pos="1448"/>
                <w:tab w:val="left" w:pos="2160"/>
              </w:tabs>
              <w:rPr>
                <w:rFonts w:ascii="Arial" w:eastAsia="Calibri" w:hAnsi="Arial" w:cs="Arial"/>
                <w:b/>
                <w:sz w:val="22"/>
                <w:szCs w:val="22"/>
              </w:rPr>
            </w:pPr>
            <w:r w:rsidRPr="00501C8E">
              <w:rPr>
                <w:rFonts w:ascii="Arial" w:eastAsia="Calibri" w:hAnsi="Arial" w:cs="Arial"/>
                <w:b/>
                <w:sz w:val="22"/>
                <w:szCs w:val="22"/>
              </w:rPr>
              <w:t>Synopsis of report:</w:t>
            </w:r>
          </w:p>
          <w:p w:rsidR="00664DF4" w:rsidRPr="00501C8E" w:rsidRDefault="00664DF4" w:rsidP="00F21659">
            <w:pPr>
              <w:tabs>
                <w:tab w:val="left" w:pos="720"/>
                <w:tab w:val="left" w:pos="1448"/>
                <w:tab w:val="left" w:pos="2160"/>
              </w:tabs>
              <w:rPr>
                <w:rFonts w:ascii="Arial" w:eastAsia="Calibri" w:hAnsi="Arial" w:cs="Arial"/>
                <w:b/>
                <w:sz w:val="22"/>
                <w:szCs w:val="22"/>
              </w:rPr>
            </w:pPr>
          </w:p>
          <w:p w:rsidR="005D0209" w:rsidRPr="00501C8E" w:rsidRDefault="005D0209" w:rsidP="00F21659">
            <w:pPr>
              <w:tabs>
                <w:tab w:val="left" w:pos="720"/>
                <w:tab w:val="left" w:pos="1440"/>
                <w:tab w:val="left" w:pos="2160"/>
              </w:tabs>
              <w:rPr>
                <w:rFonts w:ascii="Arial" w:eastAsia="Calibri" w:hAnsi="Arial" w:cs="Arial"/>
                <w:b/>
                <w:sz w:val="22"/>
                <w:szCs w:val="22"/>
              </w:rPr>
            </w:pPr>
            <w:r w:rsidRPr="00501C8E">
              <w:rPr>
                <w:rFonts w:ascii="Arial" w:hAnsi="Arial" w:cs="Arial"/>
                <w:b/>
                <w:sz w:val="22"/>
                <w:szCs w:val="22"/>
              </w:rPr>
              <w:t xml:space="preserve">To report </w:t>
            </w:r>
            <w:r w:rsidR="00D12622" w:rsidRPr="00501C8E">
              <w:rPr>
                <w:rFonts w:ascii="Arial" w:hAnsi="Arial" w:cs="Arial"/>
                <w:b/>
                <w:sz w:val="22"/>
                <w:szCs w:val="22"/>
              </w:rPr>
              <w:t xml:space="preserve">the latest financial projections for </w:t>
            </w:r>
            <w:r w:rsidRPr="00501C8E">
              <w:rPr>
                <w:rFonts w:ascii="Arial" w:hAnsi="Arial" w:cs="Arial"/>
                <w:b/>
                <w:sz w:val="22"/>
                <w:szCs w:val="22"/>
              </w:rPr>
              <w:t xml:space="preserve">the </w:t>
            </w:r>
            <w:r w:rsidR="00D12622" w:rsidRPr="00501C8E">
              <w:rPr>
                <w:rFonts w:ascii="Arial" w:hAnsi="Arial" w:cs="Arial"/>
                <w:b/>
                <w:sz w:val="22"/>
                <w:szCs w:val="22"/>
              </w:rPr>
              <w:t xml:space="preserve">2016/17 financial year for </w:t>
            </w:r>
            <w:r w:rsidRPr="00501C8E">
              <w:rPr>
                <w:rFonts w:ascii="Arial" w:hAnsi="Arial" w:cs="Arial"/>
                <w:b/>
                <w:sz w:val="22"/>
                <w:szCs w:val="22"/>
              </w:rPr>
              <w:t>General Fund</w:t>
            </w:r>
            <w:r w:rsidR="00D12622" w:rsidRPr="00501C8E">
              <w:rPr>
                <w:rFonts w:ascii="Arial" w:hAnsi="Arial" w:cs="Arial"/>
                <w:b/>
                <w:sz w:val="22"/>
                <w:szCs w:val="22"/>
              </w:rPr>
              <w:t>, Housing Revenue Account and Capital Programme</w:t>
            </w:r>
            <w:r w:rsidRPr="00501C8E">
              <w:rPr>
                <w:rFonts w:ascii="Arial" w:hAnsi="Arial" w:cs="Arial"/>
                <w:b/>
                <w:sz w:val="22"/>
                <w:szCs w:val="22"/>
              </w:rPr>
              <w:t>.</w:t>
            </w:r>
            <w:r w:rsidRPr="00501C8E">
              <w:rPr>
                <w:rFonts w:ascii="Arial" w:eastAsia="Calibri" w:hAnsi="Arial" w:cs="Arial"/>
                <w:b/>
                <w:sz w:val="22"/>
                <w:szCs w:val="22"/>
              </w:rPr>
              <w:t xml:space="preserve"> </w:t>
            </w:r>
          </w:p>
          <w:p w:rsidR="005D0209" w:rsidRPr="00501C8E" w:rsidRDefault="005D0209" w:rsidP="00F21659">
            <w:pPr>
              <w:tabs>
                <w:tab w:val="left" w:pos="720"/>
                <w:tab w:val="left" w:pos="1440"/>
                <w:tab w:val="left" w:pos="2160"/>
              </w:tabs>
              <w:rPr>
                <w:rFonts w:ascii="Arial" w:eastAsia="Calibri" w:hAnsi="Arial" w:cs="Arial"/>
                <w:b/>
                <w:sz w:val="22"/>
                <w:szCs w:val="22"/>
              </w:rPr>
            </w:pPr>
          </w:p>
        </w:tc>
      </w:tr>
    </w:tbl>
    <w:p w:rsidR="005D0209" w:rsidRPr="00501C8E" w:rsidRDefault="005D0209" w:rsidP="00F21659">
      <w:pPr>
        <w:tabs>
          <w:tab w:val="left" w:pos="720"/>
          <w:tab w:val="left" w:pos="1448"/>
          <w:tab w:val="left" w:pos="2160"/>
        </w:tabs>
        <w:ind w:left="1448" w:hanging="1448"/>
        <w:rPr>
          <w:rFonts w:ascii="Arial" w:hAnsi="Arial" w:cs="Arial"/>
          <w:b/>
          <w:sz w:val="22"/>
          <w:szCs w:val="22"/>
        </w:rPr>
      </w:pPr>
    </w:p>
    <w:tbl>
      <w:tblPr>
        <w:tblW w:w="0" w:type="auto"/>
        <w:tblInd w:w="8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19"/>
      </w:tblGrid>
      <w:tr w:rsidR="005D0209" w:rsidRPr="00501C8E" w:rsidTr="00F21659">
        <w:tc>
          <w:tcPr>
            <w:tcW w:w="8919" w:type="dxa"/>
            <w:shd w:val="clear" w:color="auto" w:fill="auto"/>
          </w:tcPr>
          <w:p w:rsidR="005D0209" w:rsidRPr="00501C8E" w:rsidRDefault="005D0209" w:rsidP="00F21659">
            <w:pPr>
              <w:tabs>
                <w:tab w:val="left" w:pos="720"/>
                <w:tab w:val="left" w:pos="1448"/>
                <w:tab w:val="left" w:pos="2160"/>
              </w:tabs>
              <w:rPr>
                <w:rFonts w:ascii="Arial" w:eastAsia="Calibri" w:hAnsi="Arial" w:cs="Arial"/>
                <w:b/>
                <w:sz w:val="22"/>
                <w:szCs w:val="22"/>
              </w:rPr>
            </w:pPr>
            <w:r w:rsidRPr="00501C8E">
              <w:rPr>
                <w:rFonts w:ascii="Arial" w:eastAsia="Calibri" w:hAnsi="Arial" w:cs="Arial"/>
                <w:b/>
                <w:sz w:val="22"/>
                <w:szCs w:val="22"/>
              </w:rPr>
              <w:t>Recommendation:</w:t>
            </w:r>
          </w:p>
          <w:p w:rsidR="005D0209" w:rsidRPr="00501C8E" w:rsidRDefault="005D0209" w:rsidP="00F21659">
            <w:pPr>
              <w:tabs>
                <w:tab w:val="left" w:pos="0"/>
                <w:tab w:val="left" w:pos="1440"/>
                <w:tab w:val="left" w:pos="2160"/>
              </w:tabs>
              <w:ind w:left="23" w:hanging="23"/>
              <w:rPr>
                <w:rFonts w:ascii="Arial" w:eastAsia="Calibri" w:hAnsi="Arial" w:cs="Arial"/>
                <w:b/>
                <w:sz w:val="22"/>
                <w:szCs w:val="22"/>
              </w:rPr>
            </w:pPr>
          </w:p>
          <w:p w:rsidR="005D0209" w:rsidRPr="00501C8E" w:rsidRDefault="00E616A1" w:rsidP="00E616A1">
            <w:pPr>
              <w:tabs>
                <w:tab w:val="left" w:pos="0"/>
                <w:tab w:val="left" w:pos="1440"/>
                <w:tab w:val="left" w:pos="2160"/>
              </w:tabs>
              <w:rPr>
                <w:rFonts w:ascii="Arial" w:eastAsia="Calibri" w:hAnsi="Arial" w:cs="Arial"/>
                <w:b/>
                <w:sz w:val="22"/>
                <w:szCs w:val="22"/>
              </w:rPr>
            </w:pPr>
            <w:r w:rsidRPr="00501C8E">
              <w:rPr>
                <w:rFonts w:ascii="Arial" w:eastAsia="Calibri" w:hAnsi="Arial" w:cs="Arial"/>
                <w:b/>
                <w:sz w:val="22"/>
                <w:szCs w:val="22"/>
              </w:rPr>
              <w:t>For information</w:t>
            </w:r>
          </w:p>
          <w:p w:rsidR="006F165A" w:rsidRPr="00501C8E" w:rsidRDefault="006F165A" w:rsidP="006F165A">
            <w:pPr>
              <w:tabs>
                <w:tab w:val="left" w:pos="0"/>
                <w:tab w:val="left" w:pos="1440"/>
                <w:tab w:val="left" w:pos="2160"/>
              </w:tabs>
              <w:ind w:left="23" w:hanging="23"/>
              <w:rPr>
                <w:rFonts w:ascii="Arial" w:eastAsia="Calibri" w:hAnsi="Arial" w:cs="Arial"/>
                <w:b/>
                <w:sz w:val="22"/>
                <w:szCs w:val="22"/>
              </w:rPr>
            </w:pPr>
          </w:p>
        </w:tc>
      </w:tr>
    </w:tbl>
    <w:p w:rsidR="005D0209" w:rsidRPr="00501C8E" w:rsidRDefault="005D0209" w:rsidP="00F21659">
      <w:pPr>
        <w:tabs>
          <w:tab w:val="left" w:pos="720"/>
        </w:tabs>
        <w:ind w:left="720" w:hanging="720"/>
        <w:rPr>
          <w:rFonts w:ascii="Arial" w:hAnsi="Arial" w:cs="Arial"/>
          <w:b/>
          <w:sz w:val="22"/>
          <w:szCs w:val="22"/>
        </w:rPr>
      </w:pPr>
    </w:p>
    <w:p w:rsidR="0014578D" w:rsidRPr="00501C8E" w:rsidRDefault="005D0209" w:rsidP="00F21659">
      <w:pPr>
        <w:tabs>
          <w:tab w:val="left" w:pos="720"/>
        </w:tabs>
        <w:ind w:left="720" w:hanging="720"/>
        <w:rPr>
          <w:rFonts w:ascii="Arial" w:hAnsi="Arial" w:cs="Arial"/>
          <w:b/>
          <w:sz w:val="22"/>
          <w:szCs w:val="22"/>
          <w:u w:val="single"/>
        </w:rPr>
      </w:pPr>
      <w:r w:rsidRPr="00501C8E">
        <w:rPr>
          <w:rFonts w:ascii="Arial" w:hAnsi="Arial" w:cs="Arial"/>
          <w:sz w:val="22"/>
          <w:szCs w:val="22"/>
        </w:rPr>
        <w:t>1</w:t>
      </w:r>
      <w:r w:rsidR="000E6E17" w:rsidRPr="00501C8E">
        <w:rPr>
          <w:rFonts w:ascii="Arial" w:hAnsi="Arial" w:cs="Arial"/>
          <w:sz w:val="22"/>
          <w:szCs w:val="22"/>
        </w:rPr>
        <w:tab/>
      </w:r>
      <w:r w:rsidRPr="00501C8E">
        <w:rPr>
          <w:rFonts w:ascii="Arial" w:hAnsi="Arial" w:cs="Arial"/>
          <w:b/>
          <w:sz w:val="22"/>
          <w:szCs w:val="22"/>
          <w:u w:val="single"/>
        </w:rPr>
        <w:t>Context of report</w:t>
      </w:r>
    </w:p>
    <w:p w:rsidR="0014578D" w:rsidRPr="00501C8E" w:rsidRDefault="0014578D" w:rsidP="00F21659">
      <w:pPr>
        <w:tabs>
          <w:tab w:val="left" w:pos="720"/>
        </w:tabs>
        <w:ind w:left="720" w:hanging="720"/>
        <w:rPr>
          <w:rFonts w:ascii="Arial" w:hAnsi="Arial" w:cs="Arial"/>
          <w:sz w:val="22"/>
          <w:szCs w:val="22"/>
        </w:rPr>
      </w:pPr>
    </w:p>
    <w:p w:rsidR="005D0209" w:rsidRPr="00501C8E" w:rsidRDefault="005D0209" w:rsidP="00F21659">
      <w:pPr>
        <w:tabs>
          <w:tab w:val="left" w:pos="720"/>
        </w:tabs>
        <w:ind w:left="720" w:hanging="720"/>
        <w:rPr>
          <w:rFonts w:ascii="Arial" w:hAnsi="Arial" w:cs="Arial"/>
          <w:sz w:val="22"/>
          <w:szCs w:val="22"/>
        </w:rPr>
      </w:pPr>
      <w:r w:rsidRPr="00501C8E">
        <w:rPr>
          <w:rFonts w:ascii="Arial" w:hAnsi="Arial" w:cs="Arial"/>
          <w:sz w:val="22"/>
          <w:szCs w:val="22"/>
        </w:rPr>
        <w:t>1</w:t>
      </w:r>
      <w:r w:rsidR="000E6E17" w:rsidRPr="00501C8E">
        <w:rPr>
          <w:rFonts w:ascii="Arial" w:hAnsi="Arial" w:cs="Arial"/>
          <w:sz w:val="22"/>
          <w:szCs w:val="22"/>
        </w:rPr>
        <w:t>.1</w:t>
      </w:r>
      <w:r w:rsidR="000E6E17" w:rsidRPr="00501C8E">
        <w:rPr>
          <w:rFonts w:ascii="Arial" w:hAnsi="Arial" w:cs="Arial"/>
          <w:sz w:val="22"/>
          <w:szCs w:val="22"/>
        </w:rPr>
        <w:tab/>
      </w:r>
      <w:r w:rsidR="0014578D" w:rsidRPr="00501C8E">
        <w:rPr>
          <w:rFonts w:ascii="Arial" w:hAnsi="Arial" w:cs="Arial"/>
          <w:sz w:val="22"/>
          <w:szCs w:val="22"/>
        </w:rPr>
        <w:t xml:space="preserve">The </w:t>
      </w:r>
      <w:r w:rsidR="0050542C" w:rsidRPr="00501C8E">
        <w:rPr>
          <w:rFonts w:ascii="Arial" w:hAnsi="Arial" w:cs="Arial"/>
          <w:sz w:val="22"/>
          <w:szCs w:val="22"/>
        </w:rPr>
        <w:t>Mediu</w:t>
      </w:r>
      <w:r w:rsidRPr="00501C8E">
        <w:rPr>
          <w:rFonts w:ascii="Arial" w:hAnsi="Arial" w:cs="Arial"/>
          <w:sz w:val="22"/>
          <w:szCs w:val="22"/>
        </w:rPr>
        <w:t xml:space="preserve">m Term Financial Strategy (MTFS), the Capital Programme </w:t>
      </w:r>
      <w:r w:rsidR="0050542C" w:rsidRPr="00501C8E">
        <w:rPr>
          <w:rFonts w:ascii="Arial" w:hAnsi="Arial" w:cs="Arial"/>
          <w:sz w:val="22"/>
          <w:szCs w:val="22"/>
        </w:rPr>
        <w:t xml:space="preserve">and the detailed </w:t>
      </w:r>
      <w:r w:rsidRPr="00501C8E">
        <w:rPr>
          <w:rFonts w:ascii="Arial" w:hAnsi="Arial" w:cs="Arial"/>
          <w:sz w:val="22"/>
          <w:szCs w:val="22"/>
        </w:rPr>
        <w:t xml:space="preserve">General Fund </w:t>
      </w:r>
      <w:r w:rsidR="0050542C" w:rsidRPr="00501C8E">
        <w:rPr>
          <w:rFonts w:ascii="Arial" w:hAnsi="Arial" w:cs="Arial"/>
          <w:sz w:val="22"/>
          <w:szCs w:val="22"/>
        </w:rPr>
        <w:t>budget</w:t>
      </w:r>
      <w:r w:rsidRPr="00501C8E">
        <w:rPr>
          <w:rFonts w:ascii="Arial" w:hAnsi="Arial" w:cs="Arial"/>
          <w:sz w:val="22"/>
          <w:szCs w:val="22"/>
        </w:rPr>
        <w:t>s</w:t>
      </w:r>
      <w:r w:rsidR="0050542C" w:rsidRPr="00501C8E">
        <w:rPr>
          <w:rFonts w:ascii="Arial" w:hAnsi="Arial" w:cs="Arial"/>
          <w:sz w:val="22"/>
          <w:szCs w:val="22"/>
        </w:rPr>
        <w:t xml:space="preserve"> for 201</w:t>
      </w:r>
      <w:r w:rsidR="00C30DD0" w:rsidRPr="00501C8E">
        <w:rPr>
          <w:rFonts w:ascii="Arial" w:hAnsi="Arial" w:cs="Arial"/>
          <w:sz w:val="22"/>
          <w:szCs w:val="22"/>
        </w:rPr>
        <w:t>6</w:t>
      </w:r>
      <w:r w:rsidR="0050542C" w:rsidRPr="00501C8E">
        <w:rPr>
          <w:rFonts w:ascii="Arial" w:hAnsi="Arial" w:cs="Arial"/>
          <w:sz w:val="22"/>
          <w:szCs w:val="22"/>
        </w:rPr>
        <w:t>/1</w:t>
      </w:r>
      <w:r w:rsidR="00C30DD0" w:rsidRPr="00501C8E">
        <w:rPr>
          <w:rFonts w:ascii="Arial" w:hAnsi="Arial" w:cs="Arial"/>
          <w:sz w:val="22"/>
          <w:szCs w:val="22"/>
        </w:rPr>
        <w:t>7</w:t>
      </w:r>
      <w:r w:rsidR="0050542C" w:rsidRPr="00501C8E">
        <w:rPr>
          <w:rFonts w:ascii="Arial" w:hAnsi="Arial" w:cs="Arial"/>
          <w:sz w:val="22"/>
          <w:szCs w:val="22"/>
        </w:rPr>
        <w:t xml:space="preserve"> were approved by the Corporate Management Committee on </w:t>
      </w:r>
      <w:r w:rsidR="00FE1F9A" w:rsidRPr="00501C8E">
        <w:rPr>
          <w:rFonts w:ascii="Arial" w:hAnsi="Arial" w:cs="Arial"/>
          <w:sz w:val="22"/>
          <w:szCs w:val="22"/>
        </w:rPr>
        <w:t>2</w:t>
      </w:r>
      <w:r w:rsidR="008D74DB" w:rsidRPr="00501C8E">
        <w:rPr>
          <w:rFonts w:ascii="Arial" w:hAnsi="Arial" w:cs="Arial"/>
          <w:sz w:val="22"/>
          <w:szCs w:val="22"/>
        </w:rPr>
        <w:t>1</w:t>
      </w:r>
      <w:r w:rsidR="0050542C" w:rsidRPr="00501C8E">
        <w:rPr>
          <w:rFonts w:ascii="Arial" w:hAnsi="Arial" w:cs="Arial"/>
          <w:sz w:val="22"/>
          <w:szCs w:val="22"/>
        </w:rPr>
        <w:t xml:space="preserve"> January 201</w:t>
      </w:r>
      <w:r w:rsidR="00C30DD0" w:rsidRPr="00501C8E">
        <w:rPr>
          <w:rFonts w:ascii="Arial" w:hAnsi="Arial" w:cs="Arial"/>
          <w:sz w:val="22"/>
          <w:szCs w:val="22"/>
        </w:rPr>
        <w:t>6</w:t>
      </w:r>
      <w:r w:rsidR="00A73350" w:rsidRPr="00501C8E">
        <w:rPr>
          <w:rFonts w:ascii="Arial" w:hAnsi="Arial" w:cs="Arial"/>
          <w:sz w:val="22"/>
          <w:szCs w:val="22"/>
        </w:rPr>
        <w:t xml:space="preserve"> and subsequently by F</w:t>
      </w:r>
      <w:r w:rsidRPr="00501C8E">
        <w:rPr>
          <w:rFonts w:ascii="Arial" w:hAnsi="Arial" w:cs="Arial"/>
          <w:sz w:val="22"/>
          <w:szCs w:val="22"/>
        </w:rPr>
        <w:t xml:space="preserve">ull Council </w:t>
      </w:r>
      <w:r w:rsidR="008D74DB" w:rsidRPr="00501C8E">
        <w:rPr>
          <w:rFonts w:ascii="Arial" w:hAnsi="Arial" w:cs="Arial"/>
          <w:sz w:val="22"/>
          <w:szCs w:val="22"/>
        </w:rPr>
        <w:t>on 11</w:t>
      </w:r>
      <w:r w:rsidRPr="00501C8E">
        <w:rPr>
          <w:rFonts w:ascii="Arial" w:hAnsi="Arial" w:cs="Arial"/>
          <w:sz w:val="22"/>
          <w:szCs w:val="22"/>
        </w:rPr>
        <w:t xml:space="preserve"> February 201</w:t>
      </w:r>
      <w:r w:rsidR="00C30DD0" w:rsidRPr="00501C8E">
        <w:rPr>
          <w:rFonts w:ascii="Arial" w:hAnsi="Arial" w:cs="Arial"/>
          <w:sz w:val="22"/>
          <w:szCs w:val="22"/>
        </w:rPr>
        <w:t>6</w:t>
      </w:r>
      <w:r w:rsidRPr="00501C8E">
        <w:rPr>
          <w:rFonts w:ascii="Arial" w:hAnsi="Arial" w:cs="Arial"/>
          <w:sz w:val="22"/>
          <w:szCs w:val="22"/>
        </w:rPr>
        <w:t xml:space="preserve">.  </w:t>
      </w:r>
    </w:p>
    <w:p w:rsidR="005D0209" w:rsidRPr="00501C8E" w:rsidRDefault="005D0209" w:rsidP="00F21659">
      <w:pPr>
        <w:tabs>
          <w:tab w:val="left" w:pos="720"/>
        </w:tabs>
        <w:ind w:left="720" w:hanging="720"/>
        <w:rPr>
          <w:rFonts w:ascii="Arial" w:hAnsi="Arial" w:cs="Arial"/>
          <w:sz w:val="22"/>
          <w:szCs w:val="22"/>
        </w:rPr>
      </w:pPr>
    </w:p>
    <w:p w:rsidR="005D0209" w:rsidRPr="00501C8E" w:rsidRDefault="005D0209" w:rsidP="00F21659">
      <w:pPr>
        <w:tabs>
          <w:tab w:val="left" w:pos="720"/>
        </w:tabs>
        <w:ind w:left="720" w:hanging="720"/>
        <w:rPr>
          <w:rFonts w:ascii="Arial" w:hAnsi="Arial" w:cs="Arial"/>
          <w:sz w:val="22"/>
          <w:szCs w:val="22"/>
        </w:rPr>
      </w:pPr>
      <w:r w:rsidRPr="00501C8E">
        <w:rPr>
          <w:rFonts w:ascii="Arial" w:hAnsi="Arial" w:cs="Arial"/>
          <w:sz w:val="22"/>
          <w:szCs w:val="22"/>
        </w:rPr>
        <w:t>1.2</w:t>
      </w:r>
      <w:r w:rsidRPr="00501C8E">
        <w:rPr>
          <w:rFonts w:ascii="Arial" w:hAnsi="Arial" w:cs="Arial"/>
          <w:sz w:val="22"/>
          <w:szCs w:val="22"/>
        </w:rPr>
        <w:tab/>
        <w:t>The detailed HRA budget for 201</w:t>
      </w:r>
      <w:r w:rsidR="00C30DD0" w:rsidRPr="00501C8E">
        <w:rPr>
          <w:rFonts w:ascii="Arial" w:hAnsi="Arial" w:cs="Arial"/>
          <w:sz w:val="22"/>
          <w:szCs w:val="22"/>
        </w:rPr>
        <w:t>6</w:t>
      </w:r>
      <w:r w:rsidRPr="00501C8E">
        <w:rPr>
          <w:rFonts w:ascii="Arial" w:hAnsi="Arial" w:cs="Arial"/>
          <w:sz w:val="22"/>
          <w:szCs w:val="22"/>
        </w:rPr>
        <w:t>/1</w:t>
      </w:r>
      <w:r w:rsidR="00C30DD0" w:rsidRPr="00501C8E">
        <w:rPr>
          <w:rFonts w:ascii="Arial" w:hAnsi="Arial" w:cs="Arial"/>
          <w:sz w:val="22"/>
          <w:szCs w:val="22"/>
        </w:rPr>
        <w:t>7</w:t>
      </w:r>
      <w:r w:rsidRPr="00501C8E">
        <w:rPr>
          <w:rFonts w:ascii="Arial" w:hAnsi="Arial" w:cs="Arial"/>
          <w:sz w:val="22"/>
          <w:szCs w:val="22"/>
        </w:rPr>
        <w:t xml:space="preserve"> was approved by the Housing Committee on 1</w:t>
      </w:r>
      <w:r w:rsidR="008D74DB" w:rsidRPr="00501C8E">
        <w:rPr>
          <w:rFonts w:ascii="Arial" w:hAnsi="Arial" w:cs="Arial"/>
          <w:sz w:val="22"/>
          <w:szCs w:val="22"/>
        </w:rPr>
        <w:t>3</w:t>
      </w:r>
      <w:r w:rsidRPr="00501C8E">
        <w:rPr>
          <w:rFonts w:ascii="Arial" w:hAnsi="Arial" w:cs="Arial"/>
          <w:sz w:val="22"/>
          <w:szCs w:val="22"/>
        </w:rPr>
        <w:t xml:space="preserve"> January 201</w:t>
      </w:r>
      <w:r w:rsidR="00C30DD0" w:rsidRPr="00501C8E">
        <w:rPr>
          <w:rFonts w:ascii="Arial" w:hAnsi="Arial" w:cs="Arial"/>
          <w:sz w:val="22"/>
          <w:szCs w:val="22"/>
        </w:rPr>
        <w:t>6</w:t>
      </w:r>
      <w:r w:rsidRPr="00501C8E">
        <w:rPr>
          <w:rFonts w:ascii="Arial" w:hAnsi="Arial" w:cs="Arial"/>
          <w:sz w:val="22"/>
          <w:szCs w:val="22"/>
        </w:rPr>
        <w:t xml:space="preserve"> and subsequently by </w:t>
      </w:r>
      <w:r w:rsidR="00A73350" w:rsidRPr="00501C8E">
        <w:rPr>
          <w:rFonts w:ascii="Arial" w:hAnsi="Arial" w:cs="Arial"/>
          <w:sz w:val="22"/>
          <w:szCs w:val="22"/>
        </w:rPr>
        <w:t>F</w:t>
      </w:r>
      <w:r w:rsidRPr="00501C8E">
        <w:rPr>
          <w:rFonts w:ascii="Arial" w:hAnsi="Arial" w:cs="Arial"/>
          <w:sz w:val="22"/>
          <w:szCs w:val="22"/>
        </w:rPr>
        <w:t>ull Council in February 201</w:t>
      </w:r>
      <w:r w:rsidR="00C30DD0" w:rsidRPr="00501C8E">
        <w:rPr>
          <w:rFonts w:ascii="Arial" w:hAnsi="Arial" w:cs="Arial"/>
          <w:sz w:val="22"/>
          <w:szCs w:val="22"/>
        </w:rPr>
        <w:t>6</w:t>
      </w:r>
      <w:r w:rsidRPr="00501C8E">
        <w:rPr>
          <w:rFonts w:ascii="Arial" w:hAnsi="Arial" w:cs="Arial"/>
          <w:sz w:val="22"/>
          <w:szCs w:val="22"/>
        </w:rPr>
        <w:t>.</w:t>
      </w:r>
    </w:p>
    <w:p w:rsidR="0014578D" w:rsidRPr="00501C8E" w:rsidRDefault="0014578D" w:rsidP="00F21659">
      <w:pPr>
        <w:tabs>
          <w:tab w:val="left" w:pos="720"/>
        </w:tabs>
        <w:ind w:left="720" w:hanging="720"/>
        <w:rPr>
          <w:rFonts w:ascii="Arial" w:hAnsi="Arial" w:cs="Arial"/>
          <w:sz w:val="22"/>
          <w:szCs w:val="22"/>
          <w:highlight w:val="yellow"/>
        </w:rPr>
      </w:pPr>
    </w:p>
    <w:p w:rsidR="0098424A" w:rsidRPr="00501C8E" w:rsidRDefault="00C26872" w:rsidP="00F21659">
      <w:pPr>
        <w:tabs>
          <w:tab w:val="left" w:pos="720"/>
        </w:tabs>
        <w:ind w:left="720" w:hanging="720"/>
        <w:rPr>
          <w:rFonts w:ascii="Arial" w:hAnsi="Arial" w:cs="Arial"/>
          <w:sz w:val="22"/>
          <w:szCs w:val="22"/>
        </w:rPr>
      </w:pPr>
      <w:r w:rsidRPr="00501C8E">
        <w:rPr>
          <w:rFonts w:ascii="Arial" w:hAnsi="Arial" w:cs="Arial"/>
          <w:sz w:val="22"/>
          <w:szCs w:val="22"/>
        </w:rPr>
        <w:t>1</w:t>
      </w:r>
      <w:r w:rsidR="002C4F79" w:rsidRPr="00501C8E">
        <w:rPr>
          <w:rFonts w:ascii="Arial" w:hAnsi="Arial" w:cs="Arial"/>
          <w:sz w:val="22"/>
          <w:szCs w:val="22"/>
        </w:rPr>
        <w:t>.</w:t>
      </w:r>
      <w:r w:rsidRPr="00501C8E">
        <w:rPr>
          <w:rFonts w:ascii="Arial" w:hAnsi="Arial" w:cs="Arial"/>
          <w:sz w:val="22"/>
          <w:szCs w:val="22"/>
        </w:rPr>
        <w:t>3</w:t>
      </w:r>
      <w:r w:rsidR="002C4F79" w:rsidRPr="00501C8E">
        <w:rPr>
          <w:rFonts w:ascii="Arial" w:hAnsi="Arial" w:cs="Arial"/>
          <w:sz w:val="22"/>
          <w:szCs w:val="22"/>
        </w:rPr>
        <w:tab/>
      </w:r>
      <w:r w:rsidR="003E681D" w:rsidRPr="00501C8E">
        <w:rPr>
          <w:rFonts w:ascii="Arial" w:hAnsi="Arial" w:cs="Arial"/>
          <w:sz w:val="22"/>
          <w:szCs w:val="22"/>
        </w:rPr>
        <w:t xml:space="preserve">Starting in July, </w:t>
      </w:r>
      <w:r w:rsidR="002C4F79" w:rsidRPr="00501C8E">
        <w:rPr>
          <w:rFonts w:ascii="Arial" w:hAnsi="Arial" w:cs="Arial"/>
          <w:sz w:val="22"/>
          <w:szCs w:val="22"/>
        </w:rPr>
        <w:t xml:space="preserve">all budget managers are provided with a </w:t>
      </w:r>
      <w:r w:rsidR="003E681D" w:rsidRPr="00501C8E">
        <w:rPr>
          <w:rFonts w:ascii="Arial" w:hAnsi="Arial" w:cs="Arial"/>
          <w:sz w:val="22"/>
          <w:szCs w:val="22"/>
        </w:rPr>
        <w:t xml:space="preserve">monthly </w:t>
      </w:r>
      <w:r w:rsidR="002C4F79" w:rsidRPr="00501C8E">
        <w:rPr>
          <w:rFonts w:ascii="Arial" w:hAnsi="Arial" w:cs="Arial"/>
          <w:sz w:val="22"/>
          <w:szCs w:val="22"/>
        </w:rPr>
        <w:t>budgetary control statement showing total budget, profiled budget</w:t>
      </w:r>
      <w:r w:rsidR="00A73350" w:rsidRPr="00501C8E">
        <w:rPr>
          <w:rFonts w:ascii="Arial" w:hAnsi="Arial" w:cs="Arial"/>
          <w:sz w:val="22"/>
          <w:szCs w:val="22"/>
        </w:rPr>
        <w:t xml:space="preserve"> and </w:t>
      </w:r>
      <w:r w:rsidR="002C4F79" w:rsidRPr="00501C8E">
        <w:rPr>
          <w:rFonts w:ascii="Arial" w:hAnsi="Arial" w:cs="Arial"/>
          <w:sz w:val="22"/>
          <w:szCs w:val="22"/>
        </w:rPr>
        <w:t xml:space="preserve">spend to date </w:t>
      </w:r>
      <w:r w:rsidR="00A73350" w:rsidRPr="00501C8E">
        <w:rPr>
          <w:rFonts w:ascii="Arial" w:hAnsi="Arial" w:cs="Arial"/>
          <w:sz w:val="22"/>
          <w:szCs w:val="22"/>
        </w:rPr>
        <w:t>(including</w:t>
      </w:r>
      <w:r w:rsidR="002C4F79" w:rsidRPr="00501C8E">
        <w:rPr>
          <w:rFonts w:ascii="Arial" w:hAnsi="Arial" w:cs="Arial"/>
          <w:sz w:val="22"/>
          <w:szCs w:val="22"/>
        </w:rPr>
        <w:t xml:space="preserve"> commitments</w:t>
      </w:r>
      <w:r w:rsidR="00A73350" w:rsidRPr="00501C8E">
        <w:rPr>
          <w:rFonts w:ascii="Arial" w:hAnsi="Arial" w:cs="Arial"/>
          <w:sz w:val="22"/>
          <w:szCs w:val="22"/>
        </w:rPr>
        <w:t>)</w:t>
      </w:r>
      <w:r w:rsidR="002C4F79" w:rsidRPr="00501C8E">
        <w:rPr>
          <w:rFonts w:ascii="Arial" w:hAnsi="Arial" w:cs="Arial"/>
          <w:sz w:val="22"/>
          <w:szCs w:val="22"/>
        </w:rPr>
        <w:t xml:space="preserve">. A full salary listing </w:t>
      </w:r>
      <w:r w:rsidR="0098424A" w:rsidRPr="00501C8E">
        <w:rPr>
          <w:rFonts w:ascii="Arial" w:hAnsi="Arial" w:cs="Arial"/>
          <w:sz w:val="22"/>
          <w:szCs w:val="22"/>
        </w:rPr>
        <w:t>is also provided</w:t>
      </w:r>
      <w:r w:rsidR="003E681D" w:rsidRPr="00501C8E">
        <w:rPr>
          <w:rFonts w:ascii="Arial" w:hAnsi="Arial" w:cs="Arial"/>
          <w:sz w:val="22"/>
          <w:szCs w:val="22"/>
        </w:rPr>
        <w:t xml:space="preserve"> on an ad-hoc basis</w:t>
      </w:r>
      <w:r w:rsidR="00A73350" w:rsidRPr="00501C8E">
        <w:rPr>
          <w:rFonts w:ascii="Arial" w:hAnsi="Arial" w:cs="Arial"/>
          <w:sz w:val="22"/>
          <w:szCs w:val="22"/>
        </w:rPr>
        <w:t xml:space="preserve"> to chief officers</w:t>
      </w:r>
      <w:r w:rsidR="0098424A" w:rsidRPr="00501C8E">
        <w:rPr>
          <w:rFonts w:ascii="Arial" w:hAnsi="Arial" w:cs="Arial"/>
          <w:sz w:val="22"/>
          <w:szCs w:val="22"/>
        </w:rPr>
        <w:t xml:space="preserve">. </w:t>
      </w:r>
      <w:r w:rsidR="003E681D" w:rsidRPr="00501C8E">
        <w:rPr>
          <w:rFonts w:ascii="Arial" w:hAnsi="Arial" w:cs="Arial"/>
          <w:sz w:val="22"/>
          <w:szCs w:val="22"/>
        </w:rPr>
        <w:t xml:space="preserve"> </w:t>
      </w:r>
      <w:r w:rsidR="0098424A" w:rsidRPr="00501C8E">
        <w:rPr>
          <w:rFonts w:ascii="Arial" w:hAnsi="Arial" w:cs="Arial"/>
          <w:sz w:val="22"/>
          <w:szCs w:val="22"/>
        </w:rPr>
        <w:t>Budget managers</w:t>
      </w:r>
      <w:r w:rsidR="003A57D4" w:rsidRPr="00501C8E">
        <w:rPr>
          <w:rFonts w:ascii="Arial" w:hAnsi="Arial" w:cs="Arial"/>
          <w:sz w:val="22"/>
          <w:szCs w:val="22"/>
        </w:rPr>
        <w:t xml:space="preserve"> are expected to work with t</w:t>
      </w:r>
      <w:r w:rsidR="00A73350" w:rsidRPr="00501C8E">
        <w:rPr>
          <w:rFonts w:ascii="Arial" w:hAnsi="Arial" w:cs="Arial"/>
          <w:sz w:val="22"/>
          <w:szCs w:val="22"/>
        </w:rPr>
        <w:t xml:space="preserve">he </w:t>
      </w:r>
      <w:r w:rsidR="0098424A" w:rsidRPr="00501C8E">
        <w:rPr>
          <w:rFonts w:ascii="Arial" w:hAnsi="Arial" w:cs="Arial"/>
          <w:sz w:val="22"/>
          <w:szCs w:val="22"/>
        </w:rPr>
        <w:t>accountan</w:t>
      </w:r>
      <w:r w:rsidR="00A73350" w:rsidRPr="00501C8E">
        <w:rPr>
          <w:rFonts w:ascii="Arial" w:hAnsi="Arial" w:cs="Arial"/>
          <w:sz w:val="22"/>
          <w:szCs w:val="22"/>
        </w:rPr>
        <w:t xml:space="preserve">cy team </w:t>
      </w:r>
      <w:r w:rsidR="003A57D4" w:rsidRPr="00501C8E">
        <w:rPr>
          <w:rFonts w:ascii="Arial" w:hAnsi="Arial" w:cs="Arial"/>
          <w:sz w:val="22"/>
          <w:szCs w:val="22"/>
        </w:rPr>
        <w:t xml:space="preserve">to report </w:t>
      </w:r>
      <w:r w:rsidR="00A73350" w:rsidRPr="00501C8E">
        <w:rPr>
          <w:rFonts w:ascii="Arial" w:hAnsi="Arial" w:cs="Arial"/>
          <w:sz w:val="22"/>
          <w:szCs w:val="22"/>
        </w:rPr>
        <w:t xml:space="preserve">any variations and </w:t>
      </w:r>
      <w:r w:rsidR="0098424A" w:rsidRPr="00501C8E">
        <w:rPr>
          <w:rFonts w:ascii="Arial" w:hAnsi="Arial" w:cs="Arial"/>
          <w:sz w:val="22"/>
          <w:szCs w:val="22"/>
        </w:rPr>
        <w:t>project likely spend to 31 March.</w:t>
      </w:r>
      <w:r w:rsidR="005D0209" w:rsidRPr="00501C8E">
        <w:rPr>
          <w:rFonts w:ascii="Arial" w:hAnsi="Arial" w:cs="Arial"/>
          <w:sz w:val="22"/>
          <w:szCs w:val="22"/>
        </w:rPr>
        <w:t xml:space="preserve">  </w:t>
      </w:r>
      <w:r w:rsidR="00FB43CE" w:rsidRPr="00501C8E">
        <w:rPr>
          <w:rFonts w:ascii="Arial" w:hAnsi="Arial" w:cs="Arial"/>
          <w:sz w:val="22"/>
          <w:szCs w:val="22"/>
        </w:rPr>
        <w:t>Since July 2016 the projected overspend, and corresponding use of balances, has increased.</w:t>
      </w:r>
    </w:p>
    <w:p w:rsidR="00542E0E" w:rsidRPr="00501C8E" w:rsidRDefault="0098424A" w:rsidP="00F21659">
      <w:pPr>
        <w:tabs>
          <w:tab w:val="left" w:pos="720"/>
        </w:tabs>
        <w:ind w:left="720" w:hanging="720"/>
        <w:rPr>
          <w:rFonts w:ascii="Arial" w:hAnsi="Arial" w:cs="Arial"/>
          <w:sz w:val="22"/>
          <w:szCs w:val="22"/>
        </w:rPr>
      </w:pPr>
      <w:r w:rsidRPr="00501C8E">
        <w:rPr>
          <w:rFonts w:ascii="Arial" w:hAnsi="Arial" w:cs="Arial"/>
          <w:sz w:val="22"/>
          <w:szCs w:val="22"/>
        </w:rPr>
        <w:tab/>
      </w:r>
    </w:p>
    <w:p w:rsidR="00715D0A" w:rsidRPr="00501C8E" w:rsidRDefault="00C26872" w:rsidP="00F21659">
      <w:pPr>
        <w:ind w:left="720" w:hanging="720"/>
        <w:rPr>
          <w:rFonts w:ascii="Arial" w:hAnsi="Arial" w:cs="Arial"/>
          <w:sz w:val="22"/>
          <w:szCs w:val="22"/>
        </w:rPr>
      </w:pPr>
      <w:r w:rsidRPr="00501C8E">
        <w:rPr>
          <w:rFonts w:ascii="Arial" w:hAnsi="Arial" w:cs="Arial"/>
          <w:sz w:val="22"/>
          <w:szCs w:val="22"/>
        </w:rPr>
        <w:t>1</w:t>
      </w:r>
      <w:r w:rsidR="00CE3C19" w:rsidRPr="00501C8E">
        <w:rPr>
          <w:rFonts w:ascii="Arial" w:hAnsi="Arial" w:cs="Arial"/>
          <w:sz w:val="22"/>
          <w:szCs w:val="22"/>
        </w:rPr>
        <w:t>.</w:t>
      </w:r>
      <w:r w:rsidRPr="00501C8E">
        <w:rPr>
          <w:rFonts w:ascii="Arial" w:hAnsi="Arial" w:cs="Arial"/>
          <w:sz w:val="22"/>
          <w:szCs w:val="22"/>
        </w:rPr>
        <w:t>4</w:t>
      </w:r>
      <w:r w:rsidR="00CE3C19" w:rsidRPr="00501C8E">
        <w:rPr>
          <w:rFonts w:ascii="Arial" w:hAnsi="Arial" w:cs="Arial"/>
          <w:sz w:val="22"/>
          <w:szCs w:val="22"/>
        </w:rPr>
        <w:tab/>
      </w:r>
      <w:r w:rsidR="00A73350" w:rsidRPr="00501C8E">
        <w:rPr>
          <w:rFonts w:ascii="Arial" w:hAnsi="Arial" w:cs="Arial"/>
          <w:sz w:val="22"/>
          <w:szCs w:val="22"/>
        </w:rPr>
        <w:t>Budget m</w:t>
      </w:r>
      <w:r w:rsidR="007D11E2" w:rsidRPr="00501C8E">
        <w:rPr>
          <w:rFonts w:ascii="Arial" w:hAnsi="Arial" w:cs="Arial"/>
          <w:sz w:val="22"/>
          <w:szCs w:val="22"/>
        </w:rPr>
        <w:t xml:space="preserve">anagers </w:t>
      </w:r>
      <w:r w:rsidR="003A57D4" w:rsidRPr="00501C8E">
        <w:rPr>
          <w:rFonts w:ascii="Arial" w:hAnsi="Arial" w:cs="Arial"/>
          <w:sz w:val="22"/>
          <w:szCs w:val="22"/>
        </w:rPr>
        <w:t xml:space="preserve">should </w:t>
      </w:r>
      <w:r w:rsidR="007D11E2" w:rsidRPr="00501C8E">
        <w:rPr>
          <w:rFonts w:ascii="Arial" w:hAnsi="Arial" w:cs="Arial"/>
          <w:sz w:val="22"/>
          <w:szCs w:val="22"/>
        </w:rPr>
        <w:t xml:space="preserve">constantly monitor their budgets and are accountable for their budget and service performance. </w:t>
      </w:r>
      <w:r w:rsidR="00CE3C19" w:rsidRPr="00501C8E">
        <w:rPr>
          <w:rFonts w:ascii="Arial" w:hAnsi="Arial" w:cs="Arial"/>
          <w:sz w:val="22"/>
          <w:szCs w:val="22"/>
        </w:rPr>
        <w:t xml:space="preserve">The projected </w:t>
      </w:r>
      <w:r w:rsidR="000B7005" w:rsidRPr="00501C8E">
        <w:rPr>
          <w:rFonts w:ascii="Arial" w:hAnsi="Arial" w:cs="Arial"/>
          <w:sz w:val="22"/>
          <w:szCs w:val="22"/>
        </w:rPr>
        <w:t>outturns shown in this report are</w:t>
      </w:r>
      <w:r w:rsidR="00CE3C19" w:rsidRPr="00501C8E">
        <w:rPr>
          <w:rFonts w:ascii="Arial" w:hAnsi="Arial" w:cs="Arial"/>
          <w:sz w:val="22"/>
          <w:szCs w:val="22"/>
        </w:rPr>
        <w:t xml:space="preserve"> </w:t>
      </w:r>
      <w:r w:rsidR="000B7005" w:rsidRPr="00501C8E">
        <w:rPr>
          <w:rFonts w:ascii="Arial" w:hAnsi="Arial" w:cs="Arial"/>
          <w:sz w:val="22"/>
          <w:szCs w:val="22"/>
        </w:rPr>
        <w:t>managers</w:t>
      </w:r>
      <w:r w:rsidR="00455FD7">
        <w:rPr>
          <w:rFonts w:ascii="Arial" w:hAnsi="Arial" w:cs="Arial"/>
          <w:sz w:val="22"/>
          <w:szCs w:val="22"/>
        </w:rPr>
        <w:t>’</w:t>
      </w:r>
      <w:r w:rsidR="00CE3C19" w:rsidRPr="00501C8E">
        <w:rPr>
          <w:rFonts w:ascii="Arial" w:hAnsi="Arial" w:cs="Arial"/>
          <w:sz w:val="22"/>
          <w:szCs w:val="22"/>
        </w:rPr>
        <w:t xml:space="preserve"> best estimates as at </w:t>
      </w:r>
      <w:r w:rsidRPr="00501C8E">
        <w:rPr>
          <w:rFonts w:ascii="Arial" w:hAnsi="Arial" w:cs="Arial"/>
          <w:sz w:val="22"/>
          <w:szCs w:val="22"/>
        </w:rPr>
        <w:t>30</w:t>
      </w:r>
      <w:r w:rsidR="003E681D" w:rsidRPr="00501C8E">
        <w:rPr>
          <w:rFonts w:ascii="Arial" w:hAnsi="Arial" w:cs="Arial"/>
          <w:sz w:val="22"/>
          <w:szCs w:val="22"/>
        </w:rPr>
        <w:t xml:space="preserve"> </w:t>
      </w:r>
      <w:r w:rsidR="00FA37FE" w:rsidRPr="00501C8E">
        <w:rPr>
          <w:rFonts w:ascii="Arial" w:hAnsi="Arial" w:cs="Arial"/>
          <w:sz w:val="22"/>
          <w:szCs w:val="22"/>
        </w:rPr>
        <w:t xml:space="preserve">September </w:t>
      </w:r>
      <w:r w:rsidR="003E681D" w:rsidRPr="00501C8E">
        <w:rPr>
          <w:rFonts w:ascii="Arial" w:hAnsi="Arial" w:cs="Arial"/>
          <w:sz w:val="22"/>
          <w:szCs w:val="22"/>
        </w:rPr>
        <w:t>20</w:t>
      </w:r>
      <w:r w:rsidR="00A73350" w:rsidRPr="00501C8E">
        <w:rPr>
          <w:rFonts w:ascii="Arial" w:hAnsi="Arial" w:cs="Arial"/>
          <w:sz w:val="22"/>
          <w:szCs w:val="22"/>
        </w:rPr>
        <w:t>1</w:t>
      </w:r>
      <w:r w:rsidR="00C30DD0" w:rsidRPr="00501C8E">
        <w:rPr>
          <w:rFonts w:ascii="Arial" w:hAnsi="Arial" w:cs="Arial"/>
          <w:sz w:val="22"/>
          <w:szCs w:val="22"/>
        </w:rPr>
        <w:t>6</w:t>
      </w:r>
      <w:r w:rsidR="00CE3C19" w:rsidRPr="00501C8E">
        <w:rPr>
          <w:rFonts w:ascii="Arial" w:hAnsi="Arial" w:cs="Arial"/>
          <w:sz w:val="22"/>
          <w:szCs w:val="22"/>
        </w:rPr>
        <w:t>.</w:t>
      </w:r>
      <w:r w:rsidR="00E165D9" w:rsidRPr="00501C8E">
        <w:rPr>
          <w:rFonts w:ascii="Arial" w:hAnsi="Arial" w:cs="Arial"/>
          <w:sz w:val="22"/>
          <w:szCs w:val="22"/>
        </w:rPr>
        <w:t xml:space="preserve"> </w:t>
      </w:r>
      <w:r w:rsidR="00A861D3" w:rsidRPr="00501C8E">
        <w:rPr>
          <w:rFonts w:ascii="Arial" w:hAnsi="Arial" w:cs="Arial"/>
          <w:sz w:val="22"/>
          <w:szCs w:val="22"/>
        </w:rPr>
        <w:t xml:space="preserve">The report also contains the concerns of the Corporate Head of Resources regarding the ongoing nature of </w:t>
      </w:r>
      <w:r w:rsidR="00974DE7" w:rsidRPr="00501C8E">
        <w:rPr>
          <w:rFonts w:ascii="Arial" w:hAnsi="Arial" w:cs="Arial"/>
          <w:sz w:val="22"/>
          <w:szCs w:val="22"/>
        </w:rPr>
        <w:t xml:space="preserve">increasing expenditure and </w:t>
      </w:r>
      <w:r w:rsidR="00A861D3" w:rsidRPr="00501C8E">
        <w:rPr>
          <w:rFonts w:ascii="Arial" w:hAnsi="Arial" w:cs="Arial"/>
          <w:sz w:val="22"/>
          <w:szCs w:val="22"/>
        </w:rPr>
        <w:t xml:space="preserve">loss of income. </w:t>
      </w:r>
      <w:r w:rsidR="001B5CCA" w:rsidRPr="00501C8E">
        <w:rPr>
          <w:rFonts w:ascii="Arial" w:hAnsi="Arial" w:cs="Arial"/>
          <w:sz w:val="22"/>
          <w:szCs w:val="22"/>
        </w:rPr>
        <w:t xml:space="preserve">Some savings, such as the Housing Enabling needs surveys, are deferring expenditure </w:t>
      </w:r>
      <w:r w:rsidR="00974DE7" w:rsidRPr="00501C8E">
        <w:rPr>
          <w:rFonts w:ascii="Arial" w:hAnsi="Arial" w:cs="Arial"/>
          <w:sz w:val="22"/>
          <w:szCs w:val="22"/>
        </w:rPr>
        <w:t xml:space="preserve">until </w:t>
      </w:r>
      <w:r w:rsidR="001B5CCA" w:rsidRPr="00501C8E">
        <w:rPr>
          <w:rFonts w:ascii="Arial" w:hAnsi="Arial" w:cs="Arial"/>
          <w:sz w:val="22"/>
          <w:szCs w:val="22"/>
        </w:rPr>
        <w:t>2017/18.</w:t>
      </w:r>
    </w:p>
    <w:p w:rsidR="004431BC" w:rsidRPr="00501C8E" w:rsidRDefault="004431BC" w:rsidP="00F21659">
      <w:pPr>
        <w:ind w:left="720" w:hanging="720"/>
        <w:rPr>
          <w:rFonts w:ascii="Arial" w:hAnsi="Arial" w:cs="Arial"/>
          <w:sz w:val="22"/>
          <w:szCs w:val="22"/>
        </w:rPr>
      </w:pPr>
    </w:p>
    <w:p w:rsidR="00270B36" w:rsidRPr="00501C8E" w:rsidRDefault="00270B36" w:rsidP="00F21659">
      <w:pPr>
        <w:ind w:left="720" w:hanging="720"/>
        <w:rPr>
          <w:rFonts w:ascii="Arial" w:hAnsi="Arial" w:cs="Arial"/>
          <w:sz w:val="22"/>
          <w:szCs w:val="22"/>
          <w:highlight w:val="yellow"/>
        </w:rPr>
      </w:pPr>
      <w:r w:rsidRPr="00501C8E">
        <w:rPr>
          <w:rFonts w:ascii="Arial" w:hAnsi="Arial" w:cs="Arial"/>
          <w:sz w:val="22"/>
          <w:szCs w:val="22"/>
        </w:rPr>
        <w:t>1.5</w:t>
      </w:r>
      <w:r w:rsidRPr="00501C8E">
        <w:rPr>
          <w:rFonts w:ascii="Arial" w:hAnsi="Arial" w:cs="Arial"/>
          <w:sz w:val="22"/>
          <w:szCs w:val="22"/>
        </w:rPr>
        <w:tab/>
        <w:t xml:space="preserve">Over the last 5 years the Council has made savings of over £6m which have been invested in service </w:t>
      </w:r>
      <w:r w:rsidR="00C50D27" w:rsidRPr="00501C8E">
        <w:rPr>
          <w:rFonts w:ascii="Arial" w:hAnsi="Arial" w:cs="Arial"/>
          <w:sz w:val="22"/>
          <w:szCs w:val="22"/>
        </w:rPr>
        <w:t>improvements</w:t>
      </w:r>
      <w:r w:rsidRPr="00501C8E">
        <w:rPr>
          <w:rFonts w:ascii="Arial" w:hAnsi="Arial" w:cs="Arial"/>
          <w:sz w:val="22"/>
          <w:szCs w:val="22"/>
        </w:rPr>
        <w:t xml:space="preserve">, </w:t>
      </w:r>
      <w:r w:rsidR="00455FD7">
        <w:rPr>
          <w:rFonts w:ascii="Arial" w:hAnsi="Arial" w:cs="Arial"/>
          <w:sz w:val="22"/>
          <w:szCs w:val="22"/>
        </w:rPr>
        <w:t xml:space="preserve">to </w:t>
      </w:r>
      <w:r w:rsidRPr="00501C8E">
        <w:rPr>
          <w:rFonts w:ascii="Arial" w:hAnsi="Arial" w:cs="Arial"/>
          <w:sz w:val="22"/>
          <w:szCs w:val="22"/>
        </w:rPr>
        <w:t>meet new cost pressures and reduce the base budget. Therefore the capacity for more efficiency savings is</w:t>
      </w:r>
      <w:r w:rsidR="004431BC" w:rsidRPr="00501C8E">
        <w:rPr>
          <w:rFonts w:ascii="Arial" w:hAnsi="Arial" w:cs="Arial"/>
          <w:sz w:val="22"/>
          <w:szCs w:val="22"/>
        </w:rPr>
        <w:t xml:space="preserve"> severely</w:t>
      </w:r>
      <w:r w:rsidRPr="00501C8E">
        <w:rPr>
          <w:rFonts w:ascii="Arial" w:hAnsi="Arial" w:cs="Arial"/>
          <w:sz w:val="22"/>
          <w:szCs w:val="22"/>
        </w:rPr>
        <w:t xml:space="preserve"> reduced</w:t>
      </w:r>
      <w:r w:rsidR="004431BC" w:rsidRPr="00501C8E">
        <w:rPr>
          <w:rFonts w:ascii="Arial" w:hAnsi="Arial" w:cs="Arial"/>
          <w:sz w:val="22"/>
          <w:szCs w:val="22"/>
        </w:rPr>
        <w:t>.</w:t>
      </w:r>
      <w:r w:rsidRPr="00501C8E">
        <w:rPr>
          <w:rFonts w:ascii="Arial" w:hAnsi="Arial" w:cs="Arial"/>
          <w:sz w:val="22"/>
          <w:szCs w:val="22"/>
        </w:rPr>
        <w:t xml:space="preserve"> </w:t>
      </w:r>
    </w:p>
    <w:p w:rsidR="00C26872" w:rsidRPr="00501C8E" w:rsidRDefault="00C26872" w:rsidP="00F21659">
      <w:pPr>
        <w:tabs>
          <w:tab w:val="left" w:pos="720"/>
        </w:tabs>
        <w:ind w:left="720" w:hanging="720"/>
        <w:rPr>
          <w:rFonts w:ascii="Arial" w:hAnsi="Arial" w:cs="Arial"/>
          <w:b/>
          <w:sz w:val="22"/>
          <w:szCs w:val="22"/>
          <w:highlight w:val="yellow"/>
          <w:u w:val="single"/>
        </w:rPr>
      </w:pPr>
    </w:p>
    <w:p w:rsidR="00C26872" w:rsidRPr="00501C8E" w:rsidRDefault="00636AE6" w:rsidP="00F21659">
      <w:pPr>
        <w:tabs>
          <w:tab w:val="left" w:pos="720"/>
        </w:tabs>
        <w:ind w:left="720" w:hanging="720"/>
        <w:rPr>
          <w:rFonts w:ascii="Arial" w:hAnsi="Arial" w:cs="Arial"/>
          <w:b/>
          <w:sz w:val="22"/>
          <w:szCs w:val="22"/>
          <w:u w:val="single"/>
        </w:rPr>
      </w:pPr>
      <w:r w:rsidRPr="00501C8E">
        <w:rPr>
          <w:rFonts w:ascii="Arial" w:hAnsi="Arial" w:cs="Arial"/>
          <w:b/>
          <w:sz w:val="22"/>
          <w:szCs w:val="22"/>
        </w:rPr>
        <w:t>2</w:t>
      </w:r>
      <w:r w:rsidR="00C26872" w:rsidRPr="00501C8E">
        <w:rPr>
          <w:rFonts w:ascii="Arial" w:hAnsi="Arial" w:cs="Arial"/>
          <w:b/>
          <w:sz w:val="22"/>
          <w:szCs w:val="22"/>
        </w:rPr>
        <w:tab/>
      </w:r>
      <w:r w:rsidR="00C26872" w:rsidRPr="00501C8E">
        <w:rPr>
          <w:rFonts w:ascii="Arial" w:hAnsi="Arial" w:cs="Arial"/>
          <w:b/>
          <w:sz w:val="22"/>
          <w:szCs w:val="22"/>
          <w:u w:val="single"/>
        </w:rPr>
        <w:t>General Fund Revenue Budget</w:t>
      </w:r>
    </w:p>
    <w:p w:rsidR="00C26872" w:rsidRPr="00501C8E" w:rsidRDefault="00C26872" w:rsidP="00F21659">
      <w:pPr>
        <w:tabs>
          <w:tab w:val="left" w:pos="720"/>
        </w:tabs>
        <w:ind w:left="720" w:hanging="720"/>
        <w:rPr>
          <w:rFonts w:ascii="Arial" w:hAnsi="Arial" w:cs="Arial"/>
          <w:sz w:val="22"/>
          <w:szCs w:val="22"/>
        </w:rPr>
      </w:pPr>
    </w:p>
    <w:p w:rsidR="00C26872" w:rsidRPr="00501C8E" w:rsidRDefault="00C26872" w:rsidP="00F21659">
      <w:pPr>
        <w:tabs>
          <w:tab w:val="left" w:pos="720"/>
        </w:tabs>
        <w:ind w:left="720" w:hanging="720"/>
        <w:rPr>
          <w:rFonts w:ascii="Arial" w:hAnsi="Arial" w:cs="Arial"/>
          <w:sz w:val="22"/>
          <w:szCs w:val="22"/>
        </w:rPr>
      </w:pPr>
      <w:r w:rsidRPr="00501C8E">
        <w:rPr>
          <w:rFonts w:ascii="Arial" w:hAnsi="Arial" w:cs="Arial"/>
          <w:sz w:val="22"/>
          <w:szCs w:val="22"/>
        </w:rPr>
        <w:t>2.1</w:t>
      </w:r>
      <w:r w:rsidRPr="00501C8E">
        <w:rPr>
          <w:rFonts w:ascii="Arial" w:hAnsi="Arial" w:cs="Arial"/>
          <w:sz w:val="22"/>
          <w:szCs w:val="22"/>
        </w:rPr>
        <w:tab/>
        <w:t xml:space="preserve">The </w:t>
      </w:r>
      <w:r w:rsidR="00F21659" w:rsidRPr="00501C8E">
        <w:rPr>
          <w:rFonts w:ascii="Arial" w:hAnsi="Arial" w:cs="Arial"/>
          <w:sz w:val="22"/>
          <w:szCs w:val="22"/>
        </w:rPr>
        <w:t xml:space="preserve">detailed General Fund </w:t>
      </w:r>
      <w:r w:rsidRPr="00501C8E">
        <w:rPr>
          <w:rFonts w:ascii="Arial" w:hAnsi="Arial" w:cs="Arial"/>
          <w:sz w:val="22"/>
          <w:szCs w:val="22"/>
        </w:rPr>
        <w:t>budget for 201</w:t>
      </w:r>
      <w:r w:rsidR="00C30DD0" w:rsidRPr="00501C8E">
        <w:rPr>
          <w:rFonts w:ascii="Arial" w:hAnsi="Arial" w:cs="Arial"/>
          <w:sz w:val="22"/>
          <w:szCs w:val="22"/>
        </w:rPr>
        <w:t>6/17</w:t>
      </w:r>
      <w:r w:rsidR="00F21659" w:rsidRPr="00501C8E">
        <w:rPr>
          <w:rFonts w:ascii="Arial" w:hAnsi="Arial" w:cs="Arial"/>
          <w:sz w:val="22"/>
          <w:szCs w:val="22"/>
        </w:rPr>
        <w:t xml:space="preserve"> </w:t>
      </w:r>
      <w:r w:rsidRPr="00501C8E">
        <w:rPr>
          <w:rFonts w:ascii="Arial" w:hAnsi="Arial" w:cs="Arial"/>
          <w:sz w:val="22"/>
          <w:szCs w:val="22"/>
        </w:rPr>
        <w:t>was approved in February 201</w:t>
      </w:r>
      <w:r w:rsidR="00C30DD0" w:rsidRPr="00501C8E">
        <w:rPr>
          <w:rFonts w:ascii="Arial" w:hAnsi="Arial" w:cs="Arial"/>
          <w:sz w:val="22"/>
          <w:szCs w:val="22"/>
        </w:rPr>
        <w:t>6</w:t>
      </w:r>
      <w:r w:rsidRPr="00501C8E">
        <w:rPr>
          <w:rFonts w:ascii="Arial" w:hAnsi="Arial" w:cs="Arial"/>
          <w:sz w:val="22"/>
          <w:szCs w:val="22"/>
        </w:rPr>
        <w:t xml:space="preserve"> </w:t>
      </w:r>
      <w:r w:rsidR="00F21659" w:rsidRPr="00501C8E">
        <w:rPr>
          <w:rFonts w:ascii="Arial" w:hAnsi="Arial" w:cs="Arial"/>
          <w:sz w:val="22"/>
          <w:szCs w:val="22"/>
        </w:rPr>
        <w:t xml:space="preserve">along with the </w:t>
      </w:r>
      <w:r w:rsidR="00A73350" w:rsidRPr="00501C8E">
        <w:rPr>
          <w:rFonts w:ascii="Arial" w:hAnsi="Arial" w:cs="Arial"/>
          <w:sz w:val="22"/>
          <w:szCs w:val="22"/>
        </w:rPr>
        <w:t>MTFS</w:t>
      </w:r>
      <w:r w:rsidR="00F21659" w:rsidRPr="00501C8E">
        <w:rPr>
          <w:rFonts w:ascii="Arial" w:hAnsi="Arial" w:cs="Arial"/>
          <w:sz w:val="22"/>
          <w:szCs w:val="22"/>
        </w:rPr>
        <w:t xml:space="preserve">.  Since then various changes have occurred </w:t>
      </w:r>
      <w:r w:rsidR="00735929" w:rsidRPr="00501C8E">
        <w:rPr>
          <w:rFonts w:ascii="Arial" w:hAnsi="Arial" w:cs="Arial"/>
          <w:sz w:val="22"/>
          <w:szCs w:val="22"/>
        </w:rPr>
        <w:t xml:space="preserve">and a summary of the current projected use of balances for the General Fund can be seen in </w:t>
      </w:r>
      <w:r w:rsidR="00455FD7">
        <w:rPr>
          <w:rFonts w:ascii="Arial" w:hAnsi="Arial" w:cs="Arial"/>
          <w:sz w:val="22"/>
          <w:szCs w:val="22"/>
        </w:rPr>
        <w:t>T</w:t>
      </w:r>
      <w:r w:rsidR="00735929" w:rsidRPr="00501C8E">
        <w:rPr>
          <w:rFonts w:ascii="Arial" w:hAnsi="Arial" w:cs="Arial"/>
          <w:sz w:val="22"/>
          <w:szCs w:val="22"/>
        </w:rPr>
        <w:t>able 1 below:</w:t>
      </w:r>
    </w:p>
    <w:p w:rsidR="00735929" w:rsidRPr="00501C8E" w:rsidRDefault="00735929" w:rsidP="00F21659">
      <w:pPr>
        <w:tabs>
          <w:tab w:val="left" w:pos="720"/>
        </w:tabs>
        <w:ind w:left="720" w:hanging="720"/>
        <w:rPr>
          <w:rFonts w:ascii="Arial" w:hAnsi="Arial" w:cs="Arial"/>
          <w:sz w:val="22"/>
          <w:szCs w:val="22"/>
        </w:rPr>
      </w:pPr>
    </w:p>
    <w:tbl>
      <w:tblPr>
        <w:tblW w:w="9027"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513"/>
        <w:gridCol w:w="1199"/>
        <w:gridCol w:w="1133"/>
        <w:gridCol w:w="2182"/>
      </w:tblGrid>
      <w:tr w:rsidR="00735929" w:rsidRPr="00501C8E" w:rsidTr="00735929">
        <w:trPr>
          <w:trHeight w:val="255"/>
        </w:trPr>
        <w:tc>
          <w:tcPr>
            <w:tcW w:w="9027" w:type="dxa"/>
            <w:gridSpan w:val="4"/>
            <w:tcBorders>
              <w:top w:val="dotted" w:sz="4" w:space="0" w:color="auto"/>
              <w:left w:val="dotted" w:sz="4" w:space="0" w:color="auto"/>
              <w:bottom w:val="dotted" w:sz="4" w:space="0" w:color="auto"/>
              <w:right w:val="dotted" w:sz="4" w:space="0" w:color="auto"/>
            </w:tcBorders>
            <w:shd w:val="clear" w:color="auto" w:fill="BFBFBF" w:themeFill="background1" w:themeFillShade="BF"/>
            <w:noWrap/>
            <w:vAlign w:val="bottom"/>
          </w:tcPr>
          <w:p w:rsidR="00735929" w:rsidRPr="00501C8E" w:rsidRDefault="00735929" w:rsidP="00735929">
            <w:pPr>
              <w:ind w:left="27" w:hanging="27"/>
              <w:jc w:val="center"/>
              <w:rPr>
                <w:rFonts w:ascii="Arial" w:hAnsi="Arial" w:cs="Arial"/>
                <w:b/>
                <w:sz w:val="22"/>
                <w:szCs w:val="22"/>
                <w:lang w:eastAsia="en-GB"/>
              </w:rPr>
            </w:pPr>
            <w:r w:rsidRPr="00501C8E">
              <w:rPr>
                <w:rFonts w:ascii="Arial" w:hAnsi="Arial" w:cs="Arial"/>
                <w:b/>
                <w:sz w:val="22"/>
                <w:szCs w:val="22"/>
                <w:lang w:eastAsia="en-GB"/>
              </w:rPr>
              <w:t>Table 1 – Projected use of General Fund balances</w:t>
            </w:r>
          </w:p>
        </w:tc>
      </w:tr>
      <w:tr w:rsidR="00E9589B" w:rsidRPr="00501C8E" w:rsidTr="003D4EC2">
        <w:trPr>
          <w:trHeight w:val="255"/>
        </w:trPr>
        <w:tc>
          <w:tcPr>
            <w:tcW w:w="4517" w:type="dxa"/>
            <w:shd w:val="clear" w:color="auto" w:fill="auto"/>
            <w:noWrap/>
            <w:vAlign w:val="bottom"/>
          </w:tcPr>
          <w:p w:rsidR="00F276CB" w:rsidRPr="00501C8E" w:rsidRDefault="00F276CB" w:rsidP="007A438E">
            <w:pPr>
              <w:tabs>
                <w:tab w:val="left" w:pos="522"/>
              </w:tabs>
              <w:jc w:val="both"/>
              <w:rPr>
                <w:rStyle w:val="endsenrhsennumparatext"/>
                <w:rFonts w:ascii="Arial" w:hAnsi="Arial" w:cs="Arial"/>
                <w:b/>
                <w:sz w:val="22"/>
                <w:szCs w:val="22"/>
                <w:lang w:val="en"/>
              </w:rPr>
            </w:pPr>
          </w:p>
        </w:tc>
        <w:tc>
          <w:tcPr>
            <w:tcW w:w="1200" w:type="dxa"/>
            <w:tcBorders>
              <w:top w:val="dotted" w:sz="4" w:space="0" w:color="auto"/>
              <w:bottom w:val="dotted" w:sz="4" w:space="0" w:color="auto"/>
            </w:tcBorders>
            <w:shd w:val="clear" w:color="auto" w:fill="auto"/>
            <w:noWrap/>
            <w:vAlign w:val="bottom"/>
          </w:tcPr>
          <w:p w:rsidR="00E9589B" w:rsidRPr="00501C8E" w:rsidRDefault="00E9589B" w:rsidP="007A438E">
            <w:pPr>
              <w:tabs>
                <w:tab w:val="left" w:pos="720"/>
              </w:tabs>
              <w:ind w:left="720" w:hanging="720"/>
              <w:jc w:val="right"/>
              <w:rPr>
                <w:rFonts w:ascii="Arial" w:hAnsi="Arial" w:cs="Arial"/>
                <w:b/>
                <w:sz w:val="22"/>
                <w:szCs w:val="22"/>
                <w:lang w:eastAsia="en-GB"/>
              </w:rPr>
            </w:pPr>
            <w:r w:rsidRPr="00501C8E">
              <w:rPr>
                <w:rFonts w:ascii="Arial" w:hAnsi="Arial" w:cs="Arial"/>
                <w:b/>
                <w:sz w:val="22"/>
                <w:szCs w:val="22"/>
                <w:lang w:eastAsia="en-GB"/>
              </w:rPr>
              <w:t>Original</w:t>
            </w:r>
          </w:p>
          <w:p w:rsidR="00F276CB" w:rsidRPr="00501C8E" w:rsidRDefault="00F276CB" w:rsidP="007A438E">
            <w:pPr>
              <w:tabs>
                <w:tab w:val="left" w:pos="720"/>
              </w:tabs>
              <w:ind w:left="720" w:hanging="720"/>
              <w:jc w:val="right"/>
              <w:rPr>
                <w:rFonts w:ascii="Arial" w:hAnsi="Arial" w:cs="Arial"/>
                <w:b/>
                <w:sz w:val="22"/>
                <w:szCs w:val="22"/>
                <w:lang w:eastAsia="en-GB"/>
              </w:rPr>
            </w:pPr>
            <w:r w:rsidRPr="00501C8E">
              <w:rPr>
                <w:rFonts w:ascii="Arial" w:hAnsi="Arial" w:cs="Arial"/>
                <w:b/>
                <w:sz w:val="22"/>
                <w:szCs w:val="22"/>
                <w:lang w:eastAsia="en-GB"/>
              </w:rPr>
              <w:t>Budget</w:t>
            </w:r>
          </w:p>
          <w:p w:rsidR="00F276CB" w:rsidRPr="00501C8E" w:rsidRDefault="00F276CB" w:rsidP="007A438E">
            <w:pPr>
              <w:tabs>
                <w:tab w:val="left" w:pos="720"/>
              </w:tabs>
              <w:ind w:left="720" w:hanging="720"/>
              <w:jc w:val="right"/>
              <w:rPr>
                <w:rFonts w:ascii="Arial" w:hAnsi="Arial" w:cs="Arial"/>
                <w:b/>
                <w:sz w:val="22"/>
                <w:szCs w:val="22"/>
                <w:lang w:eastAsia="en-GB"/>
              </w:rPr>
            </w:pPr>
            <w:r w:rsidRPr="00501C8E">
              <w:rPr>
                <w:rFonts w:ascii="Arial" w:hAnsi="Arial" w:cs="Arial"/>
                <w:b/>
                <w:sz w:val="22"/>
                <w:szCs w:val="22"/>
                <w:lang w:eastAsia="en-GB"/>
              </w:rPr>
              <w:t>£’000</w:t>
            </w:r>
          </w:p>
        </w:tc>
        <w:tc>
          <w:tcPr>
            <w:tcW w:w="1126" w:type="dxa"/>
            <w:tcBorders>
              <w:top w:val="dotted" w:sz="4" w:space="0" w:color="auto"/>
              <w:bottom w:val="dotted" w:sz="4" w:space="0" w:color="auto"/>
            </w:tcBorders>
          </w:tcPr>
          <w:p w:rsidR="00F276CB" w:rsidRPr="00501C8E" w:rsidRDefault="00E9589B" w:rsidP="007A438E">
            <w:pPr>
              <w:ind w:left="27" w:hanging="27"/>
              <w:jc w:val="right"/>
              <w:rPr>
                <w:rFonts w:ascii="Arial" w:hAnsi="Arial" w:cs="Arial"/>
                <w:b/>
                <w:sz w:val="22"/>
                <w:szCs w:val="22"/>
                <w:lang w:eastAsia="en-GB"/>
              </w:rPr>
            </w:pPr>
            <w:r w:rsidRPr="00501C8E">
              <w:rPr>
                <w:rFonts w:ascii="Arial" w:hAnsi="Arial" w:cs="Arial"/>
                <w:b/>
                <w:sz w:val="22"/>
                <w:szCs w:val="22"/>
                <w:lang w:eastAsia="en-GB"/>
              </w:rPr>
              <w:t>Forecast Outturn</w:t>
            </w:r>
          </w:p>
          <w:p w:rsidR="00F276CB" w:rsidRPr="00501C8E" w:rsidRDefault="00F276CB" w:rsidP="007A438E">
            <w:pPr>
              <w:ind w:left="27" w:hanging="27"/>
              <w:jc w:val="right"/>
              <w:rPr>
                <w:rFonts w:ascii="Arial" w:hAnsi="Arial" w:cs="Arial"/>
                <w:b/>
                <w:sz w:val="22"/>
                <w:szCs w:val="22"/>
                <w:lang w:eastAsia="en-GB"/>
              </w:rPr>
            </w:pPr>
            <w:r w:rsidRPr="00501C8E">
              <w:rPr>
                <w:rFonts w:ascii="Arial" w:hAnsi="Arial" w:cs="Arial"/>
                <w:b/>
                <w:sz w:val="22"/>
                <w:szCs w:val="22"/>
                <w:lang w:eastAsia="en-GB"/>
              </w:rPr>
              <w:t>£’000</w:t>
            </w:r>
          </w:p>
        </w:tc>
        <w:tc>
          <w:tcPr>
            <w:tcW w:w="2184" w:type="dxa"/>
            <w:tcBorders>
              <w:top w:val="dotted" w:sz="4" w:space="0" w:color="auto"/>
              <w:bottom w:val="dotted" w:sz="4" w:space="0" w:color="auto"/>
            </w:tcBorders>
            <w:shd w:val="clear" w:color="auto" w:fill="auto"/>
            <w:noWrap/>
            <w:vAlign w:val="bottom"/>
          </w:tcPr>
          <w:p w:rsidR="00F276CB" w:rsidRPr="00501C8E" w:rsidRDefault="00F276CB" w:rsidP="007A438E">
            <w:pPr>
              <w:ind w:left="27" w:hanging="27"/>
              <w:jc w:val="right"/>
              <w:rPr>
                <w:rFonts w:ascii="Arial" w:hAnsi="Arial" w:cs="Arial"/>
                <w:b/>
                <w:sz w:val="22"/>
                <w:szCs w:val="22"/>
                <w:lang w:eastAsia="en-GB"/>
              </w:rPr>
            </w:pPr>
          </w:p>
        </w:tc>
      </w:tr>
      <w:tr w:rsidR="00E9589B" w:rsidRPr="00501C8E" w:rsidTr="003D4EC2">
        <w:trPr>
          <w:trHeight w:val="255"/>
        </w:trPr>
        <w:tc>
          <w:tcPr>
            <w:tcW w:w="4517" w:type="dxa"/>
            <w:shd w:val="clear" w:color="auto" w:fill="auto"/>
            <w:noWrap/>
            <w:vAlign w:val="bottom"/>
          </w:tcPr>
          <w:p w:rsidR="00F276CB" w:rsidRPr="00501C8E" w:rsidRDefault="00F276CB" w:rsidP="00F276CB">
            <w:pPr>
              <w:tabs>
                <w:tab w:val="left" w:pos="522"/>
              </w:tabs>
              <w:rPr>
                <w:rFonts w:ascii="Arial" w:hAnsi="Arial" w:cs="Arial"/>
                <w:sz w:val="22"/>
                <w:szCs w:val="22"/>
              </w:rPr>
            </w:pPr>
            <w:r w:rsidRPr="00501C8E">
              <w:rPr>
                <w:rFonts w:ascii="Arial" w:hAnsi="Arial" w:cs="Arial"/>
                <w:sz w:val="22"/>
                <w:szCs w:val="22"/>
              </w:rPr>
              <w:t>Net Expenditure on Services</w:t>
            </w:r>
          </w:p>
        </w:tc>
        <w:tc>
          <w:tcPr>
            <w:tcW w:w="1200" w:type="dxa"/>
            <w:tcBorders>
              <w:top w:val="dotted" w:sz="4" w:space="0" w:color="auto"/>
              <w:bottom w:val="dotted" w:sz="4" w:space="0" w:color="auto"/>
            </w:tcBorders>
            <w:shd w:val="clear" w:color="auto" w:fill="auto"/>
            <w:noWrap/>
            <w:vAlign w:val="bottom"/>
          </w:tcPr>
          <w:p w:rsidR="00F276CB" w:rsidRPr="00501C8E" w:rsidRDefault="00F276CB" w:rsidP="00DB66D6">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11,115</w:t>
            </w:r>
          </w:p>
        </w:tc>
        <w:tc>
          <w:tcPr>
            <w:tcW w:w="1126" w:type="dxa"/>
            <w:tcBorders>
              <w:top w:val="dotted" w:sz="4" w:space="0" w:color="auto"/>
              <w:bottom w:val="dotted" w:sz="4" w:space="0" w:color="auto"/>
            </w:tcBorders>
          </w:tcPr>
          <w:p w:rsidR="00F276CB" w:rsidRPr="00501C8E" w:rsidRDefault="007F620C" w:rsidP="005756A0">
            <w:pPr>
              <w:ind w:left="27" w:hanging="27"/>
              <w:jc w:val="right"/>
              <w:rPr>
                <w:rFonts w:ascii="Arial" w:hAnsi="Arial" w:cs="Arial"/>
                <w:sz w:val="22"/>
                <w:szCs w:val="22"/>
              </w:rPr>
            </w:pPr>
            <w:r w:rsidRPr="00501C8E">
              <w:rPr>
                <w:rFonts w:ascii="Arial" w:hAnsi="Arial" w:cs="Arial"/>
                <w:sz w:val="22"/>
                <w:szCs w:val="22"/>
              </w:rPr>
              <w:t>11</w:t>
            </w:r>
            <w:r w:rsidR="00837866" w:rsidRPr="00501C8E">
              <w:rPr>
                <w:rFonts w:ascii="Arial" w:hAnsi="Arial" w:cs="Arial"/>
                <w:sz w:val="22"/>
                <w:szCs w:val="22"/>
              </w:rPr>
              <w:t>,</w:t>
            </w:r>
            <w:r w:rsidR="00C759E4" w:rsidRPr="00501C8E">
              <w:rPr>
                <w:rFonts w:ascii="Arial" w:hAnsi="Arial" w:cs="Arial"/>
                <w:sz w:val="22"/>
                <w:szCs w:val="22"/>
              </w:rPr>
              <w:t>2</w:t>
            </w:r>
            <w:r w:rsidR="005756A0" w:rsidRPr="00501C8E">
              <w:rPr>
                <w:rFonts w:ascii="Arial" w:hAnsi="Arial" w:cs="Arial"/>
                <w:sz w:val="22"/>
                <w:szCs w:val="22"/>
              </w:rPr>
              <w:t>33</w:t>
            </w:r>
          </w:p>
        </w:tc>
        <w:tc>
          <w:tcPr>
            <w:tcW w:w="2184" w:type="dxa"/>
            <w:tcBorders>
              <w:top w:val="dotted" w:sz="4" w:space="0" w:color="auto"/>
              <w:bottom w:val="dotted" w:sz="4" w:space="0" w:color="auto"/>
            </w:tcBorders>
            <w:shd w:val="clear" w:color="auto" w:fill="auto"/>
            <w:noWrap/>
            <w:vAlign w:val="bottom"/>
          </w:tcPr>
          <w:p w:rsidR="00F276CB" w:rsidRPr="00501C8E" w:rsidRDefault="00735929" w:rsidP="00CF10DA">
            <w:pPr>
              <w:ind w:left="27" w:hanging="27"/>
              <w:rPr>
                <w:rFonts w:ascii="Arial" w:hAnsi="Arial" w:cs="Arial"/>
                <w:sz w:val="22"/>
                <w:szCs w:val="22"/>
              </w:rPr>
            </w:pPr>
            <w:r w:rsidRPr="00501C8E">
              <w:rPr>
                <w:rFonts w:ascii="Arial" w:hAnsi="Arial" w:cs="Arial"/>
                <w:sz w:val="22"/>
                <w:szCs w:val="22"/>
              </w:rPr>
              <w:t>Paragraph 2.</w:t>
            </w:r>
            <w:r w:rsidR="00CF10DA" w:rsidRPr="00501C8E">
              <w:rPr>
                <w:rFonts w:ascii="Arial" w:hAnsi="Arial" w:cs="Arial"/>
                <w:sz w:val="22"/>
                <w:szCs w:val="22"/>
              </w:rPr>
              <w:t>3</w:t>
            </w:r>
            <w:r w:rsidRPr="00501C8E">
              <w:rPr>
                <w:rFonts w:ascii="Arial" w:hAnsi="Arial" w:cs="Arial"/>
                <w:sz w:val="22"/>
                <w:szCs w:val="22"/>
              </w:rPr>
              <w:t xml:space="preserve"> below</w:t>
            </w:r>
          </w:p>
        </w:tc>
      </w:tr>
      <w:tr w:rsidR="003D4EC2" w:rsidRPr="00501C8E" w:rsidTr="003D4EC2">
        <w:trPr>
          <w:trHeight w:val="255"/>
        </w:trPr>
        <w:tc>
          <w:tcPr>
            <w:tcW w:w="4517" w:type="dxa"/>
            <w:shd w:val="clear" w:color="auto" w:fill="auto"/>
            <w:noWrap/>
            <w:vAlign w:val="bottom"/>
          </w:tcPr>
          <w:p w:rsidR="00735929" w:rsidRPr="00501C8E" w:rsidRDefault="00735929" w:rsidP="00F276CB">
            <w:pPr>
              <w:tabs>
                <w:tab w:val="left" w:pos="522"/>
              </w:tabs>
              <w:rPr>
                <w:rFonts w:ascii="Arial" w:hAnsi="Arial" w:cs="Arial"/>
                <w:sz w:val="22"/>
                <w:szCs w:val="22"/>
              </w:rPr>
            </w:pPr>
            <w:r w:rsidRPr="00501C8E">
              <w:rPr>
                <w:rFonts w:ascii="Arial" w:hAnsi="Arial" w:cs="Arial"/>
                <w:sz w:val="22"/>
                <w:szCs w:val="22"/>
              </w:rPr>
              <w:t>Transfers and accounting adjustments</w:t>
            </w:r>
          </w:p>
        </w:tc>
        <w:tc>
          <w:tcPr>
            <w:tcW w:w="1200" w:type="dxa"/>
            <w:tcBorders>
              <w:top w:val="dotted" w:sz="4" w:space="0" w:color="auto"/>
              <w:bottom w:val="dotted" w:sz="4" w:space="0" w:color="auto"/>
            </w:tcBorders>
            <w:shd w:val="clear" w:color="auto" w:fill="auto"/>
            <w:noWrap/>
            <w:vAlign w:val="bottom"/>
          </w:tcPr>
          <w:p w:rsidR="00735929" w:rsidRPr="00501C8E" w:rsidRDefault="00735929" w:rsidP="00DB66D6">
            <w:pPr>
              <w:tabs>
                <w:tab w:val="left" w:pos="720"/>
              </w:tabs>
              <w:jc w:val="right"/>
              <w:rPr>
                <w:rFonts w:ascii="Arial" w:hAnsi="Arial" w:cs="Arial"/>
                <w:sz w:val="22"/>
                <w:szCs w:val="22"/>
                <w:lang w:eastAsia="en-GB"/>
              </w:rPr>
            </w:pPr>
            <w:r w:rsidRPr="00501C8E">
              <w:rPr>
                <w:rFonts w:ascii="Arial" w:hAnsi="Arial" w:cs="Arial"/>
                <w:sz w:val="22"/>
                <w:szCs w:val="22"/>
                <w:lang w:eastAsia="en-GB"/>
              </w:rPr>
              <w:t>(1,978)</w:t>
            </w:r>
          </w:p>
        </w:tc>
        <w:tc>
          <w:tcPr>
            <w:tcW w:w="1126" w:type="dxa"/>
            <w:tcBorders>
              <w:top w:val="dotted" w:sz="4" w:space="0" w:color="auto"/>
              <w:bottom w:val="dotted" w:sz="4" w:space="0" w:color="auto"/>
            </w:tcBorders>
          </w:tcPr>
          <w:p w:rsidR="00735929" w:rsidRPr="00501C8E" w:rsidRDefault="00FE0420" w:rsidP="007A438E">
            <w:pPr>
              <w:ind w:left="27" w:hanging="27"/>
              <w:jc w:val="right"/>
              <w:rPr>
                <w:rFonts w:ascii="Arial" w:hAnsi="Arial" w:cs="Arial"/>
                <w:sz w:val="22"/>
                <w:szCs w:val="22"/>
              </w:rPr>
            </w:pPr>
            <w:r w:rsidRPr="00501C8E">
              <w:rPr>
                <w:rFonts w:ascii="Arial" w:hAnsi="Arial" w:cs="Arial"/>
                <w:sz w:val="22"/>
                <w:szCs w:val="22"/>
              </w:rPr>
              <w:t>(1,978)</w:t>
            </w:r>
          </w:p>
        </w:tc>
        <w:tc>
          <w:tcPr>
            <w:tcW w:w="2184" w:type="dxa"/>
            <w:tcBorders>
              <w:top w:val="dotted" w:sz="4" w:space="0" w:color="auto"/>
              <w:bottom w:val="dotted" w:sz="4" w:space="0" w:color="auto"/>
            </w:tcBorders>
            <w:shd w:val="clear" w:color="auto" w:fill="auto"/>
            <w:noWrap/>
          </w:tcPr>
          <w:p w:rsidR="00735929" w:rsidRPr="00501C8E" w:rsidRDefault="00735929">
            <w:pPr>
              <w:rPr>
                <w:rFonts w:ascii="Arial" w:hAnsi="Arial" w:cs="Arial"/>
                <w:sz w:val="22"/>
                <w:szCs w:val="22"/>
              </w:rPr>
            </w:pPr>
          </w:p>
        </w:tc>
      </w:tr>
      <w:tr w:rsidR="003D4EC2" w:rsidRPr="00501C8E" w:rsidTr="003D4EC2">
        <w:trPr>
          <w:trHeight w:val="255"/>
        </w:trPr>
        <w:tc>
          <w:tcPr>
            <w:tcW w:w="4517" w:type="dxa"/>
            <w:shd w:val="clear" w:color="auto" w:fill="auto"/>
            <w:noWrap/>
            <w:vAlign w:val="bottom"/>
          </w:tcPr>
          <w:p w:rsidR="00735929" w:rsidRPr="00501C8E" w:rsidRDefault="00735929" w:rsidP="00F276CB">
            <w:pPr>
              <w:tabs>
                <w:tab w:val="left" w:pos="522"/>
              </w:tabs>
              <w:rPr>
                <w:rFonts w:ascii="Arial" w:hAnsi="Arial" w:cs="Arial"/>
                <w:sz w:val="22"/>
                <w:szCs w:val="22"/>
              </w:rPr>
            </w:pPr>
            <w:r w:rsidRPr="00501C8E">
              <w:rPr>
                <w:rFonts w:ascii="Arial" w:hAnsi="Arial" w:cs="Arial"/>
                <w:sz w:val="22"/>
                <w:szCs w:val="22"/>
              </w:rPr>
              <w:lastRenderedPageBreak/>
              <w:t>Treasury and financing</w:t>
            </w:r>
          </w:p>
        </w:tc>
        <w:tc>
          <w:tcPr>
            <w:tcW w:w="1200" w:type="dxa"/>
            <w:tcBorders>
              <w:top w:val="dotted" w:sz="4" w:space="0" w:color="auto"/>
              <w:bottom w:val="dotted" w:sz="4" w:space="0" w:color="auto"/>
            </w:tcBorders>
            <w:shd w:val="clear" w:color="auto" w:fill="auto"/>
            <w:noWrap/>
            <w:vAlign w:val="bottom"/>
          </w:tcPr>
          <w:p w:rsidR="00735929" w:rsidRPr="00501C8E" w:rsidRDefault="00735929" w:rsidP="00DB66D6">
            <w:pPr>
              <w:tabs>
                <w:tab w:val="left" w:pos="720"/>
              </w:tabs>
              <w:jc w:val="right"/>
              <w:rPr>
                <w:rFonts w:ascii="Arial" w:hAnsi="Arial" w:cs="Arial"/>
                <w:sz w:val="22"/>
                <w:szCs w:val="22"/>
                <w:lang w:eastAsia="en-GB"/>
              </w:rPr>
            </w:pPr>
            <w:r w:rsidRPr="00501C8E">
              <w:rPr>
                <w:rFonts w:ascii="Arial" w:hAnsi="Arial" w:cs="Arial"/>
                <w:sz w:val="22"/>
                <w:szCs w:val="22"/>
                <w:lang w:eastAsia="en-GB"/>
              </w:rPr>
              <w:t>1,498</w:t>
            </w:r>
          </w:p>
        </w:tc>
        <w:tc>
          <w:tcPr>
            <w:tcW w:w="1126" w:type="dxa"/>
            <w:tcBorders>
              <w:top w:val="dotted" w:sz="4" w:space="0" w:color="auto"/>
              <w:bottom w:val="dotted" w:sz="4" w:space="0" w:color="auto"/>
            </w:tcBorders>
          </w:tcPr>
          <w:p w:rsidR="00735929" w:rsidRPr="00501C8E" w:rsidRDefault="001613E3" w:rsidP="007A438E">
            <w:pPr>
              <w:ind w:left="27" w:hanging="27"/>
              <w:jc w:val="right"/>
              <w:rPr>
                <w:rFonts w:ascii="Arial" w:hAnsi="Arial" w:cs="Arial"/>
                <w:sz w:val="22"/>
                <w:szCs w:val="22"/>
              </w:rPr>
            </w:pPr>
            <w:r w:rsidRPr="00501C8E">
              <w:rPr>
                <w:rFonts w:ascii="Arial" w:hAnsi="Arial" w:cs="Arial"/>
                <w:sz w:val="22"/>
                <w:szCs w:val="22"/>
              </w:rPr>
              <w:t>2,268</w:t>
            </w:r>
          </w:p>
        </w:tc>
        <w:tc>
          <w:tcPr>
            <w:tcW w:w="2184" w:type="dxa"/>
            <w:tcBorders>
              <w:top w:val="dotted" w:sz="4" w:space="0" w:color="auto"/>
              <w:bottom w:val="dotted" w:sz="4" w:space="0" w:color="auto"/>
            </w:tcBorders>
            <w:shd w:val="clear" w:color="auto" w:fill="auto"/>
            <w:noWrap/>
          </w:tcPr>
          <w:p w:rsidR="00735929" w:rsidRPr="00501C8E" w:rsidRDefault="00735929" w:rsidP="00741380">
            <w:pPr>
              <w:rPr>
                <w:rFonts w:ascii="Arial" w:hAnsi="Arial" w:cs="Arial"/>
                <w:sz w:val="22"/>
                <w:szCs w:val="22"/>
              </w:rPr>
            </w:pPr>
            <w:r w:rsidRPr="00501C8E">
              <w:rPr>
                <w:rFonts w:ascii="Arial" w:hAnsi="Arial" w:cs="Arial"/>
                <w:sz w:val="22"/>
                <w:szCs w:val="22"/>
              </w:rPr>
              <w:t>Paragraph 2.</w:t>
            </w:r>
            <w:r w:rsidR="004431BC" w:rsidRPr="00501C8E">
              <w:rPr>
                <w:rFonts w:ascii="Arial" w:hAnsi="Arial" w:cs="Arial"/>
                <w:sz w:val="22"/>
                <w:szCs w:val="22"/>
              </w:rPr>
              <w:t>1</w:t>
            </w:r>
            <w:r w:rsidR="00741380" w:rsidRPr="00501C8E">
              <w:rPr>
                <w:rFonts w:ascii="Arial" w:hAnsi="Arial" w:cs="Arial"/>
                <w:sz w:val="22"/>
                <w:szCs w:val="22"/>
              </w:rPr>
              <w:t>8</w:t>
            </w:r>
            <w:r w:rsidRPr="00501C8E">
              <w:rPr>
                <w:rFonts w:ascii="Arial" w:hAnsi="Arial" w:cs="Arial"/>
                <w:sz w:val="22"/>
                <w:szCs w:val="22"/>
              </w:rPr>
              <w:t xml:space="preserve"> below</w:t>
            </w:r>
          </w:p>
        </w:tc>
      </w:tr>
      <w:tr w:rsidR="003D4EC2" w:rsidRPr="00501C8E" w:rsidTr="003D4EC2">
        <w:trPr>
          <w:trHeight w:val="255"/>
        </w:trPr>
        <w:tc>
          <w:tcPr>
            <w:tcW w:w="4517" w:type="dxa"/>
            <w:shd w:val="clear" w:color="auto" w:fill="auto"/>
            <w:noWrap/>
            <w:vAlign w:val="bottom"/>
          </w:tcPr>
          <w:p w:rsidR="00735929" w:rsidRPr="00501C8E" w:rsidRDefault="00735929" w:rsidP="00F276CB">
            <w:pPr>
              <w:tabs>
                <w:tab w:val="left" w:pos="522"/>
              </w:tabs>
              <w:rPr>
                <w:rFonts w:ascii="Arial" w:hAnsi="Arial" w:cs="Arial"/>
                <w:sz w:val="22"/>
                <w:szCs w:val="22"/>
              </w:rPr>
            </w:pPr>
            <w:r w:rsidRPr="00501C8E">
              <w:rPr>
                <w:rFonts w:ascii="Arial" w:hAnsi="Arial" w:cs="Arial"/>
                <w:sz w:val="22"/>
                <w:szCs w:val="22"/>
              </w:rPr>
              <w:t>Government grants</w:t>
            </w:r>
          </w:p>
        </w:tc>
        <w:tc>
          <w:tcPr>
            <w:tcW w:w="1200" w:type="dxa"/>
            <w:tcBorders>
              <w:top w:val="dotted" w:sz="4" w:space="0" w:color="auto"/>
              <w:bottom w:val="dotted" w:sz="4" w:space="0" w:color="auto"/>
            </w:tcBorders>
            <w:shd w:val="clear" w:color="auto" w:fill="auto"/>
            <w:noWrap/>
            <w:vAlign w:val="bottom"/>
          </w:tcPr>
          <w:p w:rsidR="00735929" w:rsidRPr="00501C8E" w:rsidRDefault="00735929" w:rsidP="00DB66D6">
            <w:pPr>
              <w:tabs>
                <w:tab w:val="left" w:pos="720"/>
              </w:tabs>
              <w:jc w:val="right"/>
              <w:rPr>
                <w:rFonts w:ascii="Arial" w:hAnsi="Arial" w:cs="Arial"/>
                <w:sz w:val="22"/>
                <w:szCs w:val="22"/>
                <w:lang w:eastAsia="en-GB"/>
              </w:rPr>
            </w:pPr>
            <w:r w:rsidRPr="00501C8E">
              <w:rPr>
                <w:rFonts w:ascii="Arial" w:hAnsi="Arial" w:cs="Arial"/>
                <w:sz w:val="22"/>
                <w:szCs w:val="22"/>
                <w:lang w:eastAsia="en-GB"/>
              </w:rPr>
              <w:t>(2,788)</w:t>
            </w:r>
          </w:p>
        </w:tc>
        <w:tc>
          <w:tcPr>
            <w:tcW w:w="1126" w:type="dxa"/>
            <w:tcBorders>
              <w:top w:val="dotted" w:sz="4" w:space="0" w:color="auto"/>
              <w:bottom w:val="dotted" w:sz="4" w:space="0" w:color="auto"/>
            </w:tcBorders>
          </w:tcPr>
          <w:p w:rsidR="00735929" w:rsidRPr="00501C8E" w:rsidRDefault="00AF6548" w:rsidP="007A438E">
            <w:pPr>
              <w:ind w:left="27" w:hanging="27"/>
              <w:jc w:val="right"/>
              <w:rPr>
                <w:rFonts w:ascii="Arial" w:hAnsi="Arial" w:cs="Arial"/>
                <w:sz w:val="22"/>
                <w:szCs w:val="22"/>
              </w:rPr>
            </w:pPr>
            <w:r w:rsidRPr="00501C8E">
              <w:rPr>
                <w:rFonts w:ascii="Arial" w:hAnsi="Arial" w:cs="Arial"/>
                <w:sz w:val="22"/>
                <w:szCs w:val="22"/>
              </w:rPr>
              <w:t>(2,791)</w:t>
            </w:r>
          </w:p>
        </w:tc>
        <w:tc>
          <w:tcPr>
            <w:tcW w:w="2184" w:type="dxa"/>
            <w:tcBorders>
              <w:top w:val="dotted" w:sz="4" w:space="0" w:color="auto"/>
              <w:bottom w:val="dotted" w:sz="4" w:space="0" w:color="auto"/>
            </w:tcBorders>
            <w:shd w:val="clear" w:color="auto" w:fill="auto"/>
            <w:noWrap/>
          </w:tcPr>
          <w:p w:rsidR="00735929" w:rsidRPr="00501C8E" w:rsidRDefault="00735929" w:rsidP="003B24D4">
            <w:pPr>
              <w:rPr>
                <w:rFonts w:ascii="Arial" w:hAnsi="Arial" w:cs="Arial"/>
                <w:sz w:val="22"/>
                <w:szCs w:val="22"/>
              </w:rPr>
            </w:pPr>
            <w:r w:rsidRPr="00501C8E">
              <w:rPr>
                <w:rFonts w:ascii="Arial" w:hAnsi="Arial" w:cs="Arial"/>
                <w:sz w:val="22"/>
                <w:szCs w:val="22"/>
              </w:rPr>
              <w:t xml:space="preserve">Paragraph </w:t>
            </w:r>
            <w:r w:rsidR="004431BC" w:rsidRPr="00501C8E">
              <w:rPr>
                <w:rFonts w:ascii="Arial" w:hAnsi="Arial" w:cs="Arial"/>
                <w:sz w:val="22"/>
                <w:szCs w:val="22"/>
              </w:rPr>
              <w:t>2.</w:t>
            </w:r>
            <w:r w:rsidR="003B24D4" w:rsidRPr="00501C8E">
              <w:rPr>
                <w:rFonts w:ascii="Arial" w:hAnsi="Arial" w:cs="Arial"/>
                <w:sz w:val="22"/>
                <w:szCs w:val="22"/>
              </w:rPr>
              <w:t>21</w:t>
            </w:r>
            <w:r w:rsidRPr="00501C8E">
              <w:rPr>
                <w:rFonts w:ascii="Arial" w:hAnsi="Arial" w:cs="Arial"/>
                <w:sz w:val="22"/>
                <w:szCs w:val="22"/>
              </w:rPr>
              <w:t xml:space="preserve"> below</w:t>
            </w:r>
          </w:p>
        </w:tc>
      </w:tr>
      <w:tr w:rsidR="003D4EC2" w:rsidRPr="00501C8E" w:rsidTr="003D4EC2">
        <w:trPr>
          <w:trHeight w:val="255"/>
        </w:trPr>
        <w:tc>
          <w:tcPr>
            <w:tcW w:w="4517" w:type="dxa"/>
            <w:shd w:val="clear" w:color="auto" w:fill="auto"/>
            <w:noWrap/>
            <w:vAlign w:val="bottom"/>
          </w:tcPr>
          <w:p w:rsidR="00735929" w:rsidRPr="00501C8E" w:rsidRDefault="00735929" w:rsidP="00F276CB">
            <w:pPr>
              <w:tabs>
                <w:tab w:val="left" w:pos="522"/>
              </w:tabs>
              <w:rPr>
                <w:rFonts w:ascii="Arial" w:hAnsi="Arial" w:cs="Arial"/>
                <w:sz w:val="22"/>
                <w:szCs w:val="22"/>
              </w:rPr>
            </w:pPr>
            <w:r w:rsidRPr="00501C8E">
              <w:rPr>
                <w:rFonts w:ascii="Arial" w:hAnsi="Arial" w:cs="Arial"/>
                <w:sz w:val="22"/>
                <w:szCs w:val="22"/>
              </w:rPr>
              <w:t xml:space="preserve">Business rates and Council Tax </w:t>
            </w:r>
            <w:r w:rsidR="00787208" w:rsidRPr="00501C8E">
              <w:rPr>
                <w:rFonts w:ascii="Arial" w:hAnsi="Arial" w:cs="Arial"/>
                <w:sz w:val="22"/>
                <w:szCs w:val="22"/>
              </w:rPr>
              <w:t>collection</w:t>
            </w:r>
          </w:p>
        </w:tc>
        <w:tc>
          <w:tcPr>
            <w:tcW w:w="1200" w:type="dxa"/>
            <w:tcBorders>
              <w:top w:val="dotted" w:sz="4" w:space="0" w:color="auto"/>
              <w:bottom w:val="single" w:sz="4" w:space="0" w:color="auto"/>
            </w:tcBorders>
            <w:shd w:val="clear" w:color="auto" w:fill="auto"/>
            <w:noWrap/>
            <w:vAlign w:val="bottom"/>
          </w:tcPr>
          <w:p w:rsidR="00735929" w:rsidRPr="00501C8E" w:rsidRDefault="00735929" w:rsidP="00DB66D6">
            <w:pPr>
              <w:tabs>
                <w:tab w:val="left" w:pos="720"/>
              </w:tabs>
              <w:jc w:val="right"/>
              <w:rPr>
                <w:rFonts w:ascii="Arial" w:hAnsi="Arial" w:cs="Arial"/>
                <w:sz w:val="22"/>
                <w:szCs w:val="22"/>
                <w:lang w:eastAsia="en-GB"/>
              </w:rPr>
            </w:pPr>
            <w:r w:rsidRPr="00501C8E">
              <w:rPr>
                <w:rFonts w:ascii="Arial" w:hAnsi="Arial" w:cs="Arial"/>
                <w:sz w:val="22"/>
                <w:szCs w:val="22"/>
                <w:lang w:eastAsia="en-GB"/>
              </w:rPr>
              <w:t>(6,495)</w:t>
            </w:r>
          </w:p>
        </w:tc>
        <w:tc>
          <w:tcPr>
            <w:tcW w:w="1126" w:type="dxa"/>
            <w:tcBorders>
              <w:top w:val="dotted" w:sz="4" w:space="0" w:color="auto"/>
              <w:bottom w:val="single" w:sz="4" w:space="0" w:color="auto"/>
            </w:tcBorders>
          </w:tcPr>
          <w:p w:rsidR="00735929" w:rsidRPr="00501C8E" w:rsidRDefault="006800D2" w:rsidP="007A438E">
            <w:pPr>
              <w:ind w:left="27" w:hanging="27"/>
              <w:jc w:val="right"/>
              <w:rPr>
                <w:rFonts w:ascii="Arial" w:hAnsi="Arial" w:cs="Arial"/>
                <w:sz w:val="22"/>
                <w:szCs w:val="22"/>
              </w:rPr>
            </w:pPr>
            <w:r w:rsidRPr="00501C8E">
              <w:rPr>
                <w:rFonts w:ascii="Arial" w:hAnsi="Arial" w:cs="Arial"/>
                <w:sz w:val="22"/>
                <w:szCs w:val="22"/>
              </w:rPr>
              <w:t>(6,495)</w:t>
            </w:r>
          </w:p>
        </w:tc>
        <w:tc>
          <w:tcPr>
            <w:tcW w:w="2184" w:type="dxa"/>
            <w:tcBorders>
              <w:top w:val="dotted" w:sz="4" w:space="0" w:color="auto"/>
              <w:bottom w:val="dotted" w:sz="4" w:space="0" w:color="auto"/>
            </w:tcBorders>
            <w:shd w:val="clear" w:color="auto" w:fill="auto"/>
            <w:noWrap/>
          </w:tcPr>
          <w:p w:rsidR="00735929" w:rsidRPr="00501C8E" w:rsidRDefault="00735929">
            <w:pPr>
              <w:rPr>
                <w:rFonts w:ascii="Arial" w:hAnsi="Arial" w:cs="Arial"/>
                <w:sz w:val="22"/>
                <w:szCs w:val="22"/>
              </w:rPr>
            </w:pPr>
            <w:r w:rsidRPr="00501C8E">
              <w:rPr>
                <w:rFonts w:ascii="Arial" w:hAnsi="Arial" w:cs="Arial"/>
                <w:sz w:val="22"/>
                <w:szCs w:val="22"/>
              </w:rPr>
              <w:t xml:space="preserve">Paragraph </w:t>
            </w:r>
            <w:r w:rsidR="004431BC" w:rsidRPr="00501C8E">
              <w:rPr>
                <w:rFonts w:ascii="Arial" w:hAnsi="Arial" w:cs="Arial"/>
                <w:sz w:val="22"/>
                <w:szCs w:val="22"/>
              </w:rPr>
              <w:t>2.</w:t>
            </w:r>
            <w:r w:rsidR="00C3115A" w:rsidRPr="00501C8E">
              <w:rPr>
                <w:rFonts w:ascii="Arial" w:hAnsi="Arial" w:cs="Arial"/>
                <w:sz w:val="22"/>
                <w:szCs w:val="22"/>
              </w:rPr>
              <w:t>2</w:t>
            </w:r>
            <w:r w:rsidR="003B24D4" w:rsidRPr="00501C8E">
              <w:rPr>
                <w:rFonts w:ascii="Arial" w:hAnsi="Arial" w:cs="Arial"/>
                <w:sz w:val="22"/>
                <w:szCs w:val="22"/>
              </w:rPr>
              <w:t>2</w:t>
            </w:r>
            <w:r w:rsidR="00C3115A" w:rsidRPr="00501C8E">
              <w:rPr>
                <w:rFonts w:ascii="Arial" w:hAnsi="Arial" w:cs="Arial"/>
                <w:sz w:val="22"/>
                <w:szCs w:val="22"/>
              </w:rPr>
              <w:t xml:space="preserve"> </w:t>
            </w:r>
            <w:r w:rsidRPr="00501C8E">
              <w:rPr>
                <w:rFonts w:ascii="Arial" w:hAnsi="Arial" w:cs="Arial"/>
                <w:sz w:val="22"/>
                <w:szCs w:val="22"/>
              </w:rPr>
              <w:t>below</w:t>
            </w:r>
          </w:p>
        </w:tc>
      </w:tr>
      <w:tr w:rsidR="00E9589B" w:rsidRPr="00501C8E" w:rsidTr="00AF6548">
        <w:trPr>
          <w:trHeight w:val="255"/>
        </w:trPr>
        <w:tc>
          <w:tcPr>
            <w:tcW w:w="4517" w:type="dxa"/>
            <w:tcBorders>
              <w:top w:val="dotted" w:sz="4" w:space="0" w:color="auto"/>
              <w:left w:val="dotted" w:sz="4" w:space="0" w:color="auto"/>
              <w:bottom w:val="dotted" w:sz="4" w:space="0" w:color="auto"/>
              <w:right w:val="dotted" w:sz="4" w:space="0" w:color="auto"/>
            </w:tcBorders>
            <w:shd w:val="clear" w:color="auto" w:fill="auto"/>
            <w:noWrap/>
            <w:vAlign w:val="bottom"/>
          </w:tcPr>
          <w:p w:rsidR="00F276CB" w:rsidRPr="00501C8E" w:rsidRDefault="00F276CB" w:rsidP="00DF4571">
            <w:pPr>
              <w:tabs>
                <w:tab w:val="left" w:pos="522"/>
              </w:tabs>
              <w:rPr>
                <w:rFonts w:ascii="Arial" w:hAnsi="Arial" w:cs="Arial"/>
                <w:b/>
                <w:sz w:val="22"/>
                <w:szCs w:val="22"/>
              </w:rPr>
            </w:pPr>
            <w:r w:rsidRPr="00501C8E">
              <w:rPr>
                <w:rFonts w:ascii="Arial" w:hAnsi="Arial" w:cs="Arial"/>
                <w:b/>
                <w:sz w:val="22"/>
                <w:szCs w:val="22"/>
              </w:rPr>
              <w:t xml:space="preserve">Projected </w:t>
            </w:r>
            <w:r w:rsidR="00DB66D6" w:rsidRPr="00501C8E">
              <w:rPr>
                <w:rFonts w:ascii="Arial" w:hAnsi="Arial" w:cs="Arial"/>
                <w:b/>
                <w:sz w:val="22"/>
                <w:szCs w:val="22"/>
              </w:rPr>
              <w:t>use of</w:t>
            </w:r>
            <w:r w:rsidRPr="00501C8E">
              <w:rPr>
                <w:rFonts w:ascii="Arial" w:hAnsi="Arial" w:cs="Arial"/>
                <w:b/>
                <w:sz w:val="22"/>
                <w:szCs w:val="22"/>
              </w:rPr>
              <w:t xml:space="preserve"> balances in 2016/17</w:t>
            </w:r>
          </w:p>
        </w:tc>
        <w:tc>
          <w:tcPr>
            <w:tcW w:w="1200" w:type="dxa"/>
            <w:tcBorders>
              <w:top w:val="single" w:sz="4" w:space="0" w:color="auto"/>
              <w:left w:val="dotted" w:sz="4" w:space="0" w:color="auto"/>
              <w:bottom w:val="single" w:sz="4" w:space="0" w:color="auto"/>
              <w:right w:val="dotted" w:sz="4" w:space="0" w:color="auto"/>
            </w:tcBorders>
            <w:shd w:val="clear" w:color="auto" w:fill="auto"/>
            <w:noWrap/>
            <w:vAlign w:val="bottom"/>
          </w:tcPr>
          <w:p w:rsidR="00F276CB" w:rsidRPr="00501C8E" w:rsidRDefault="00DB66D6" w:rsidP="00DF4571">
            <w:pPr>
              <w:tabs>
                <w:tab w:val="left" w:pos="720"/>
              </w:tabs>
              <w:ind w:left="720" w:hanging="720"/>
              <w:jc w:val="right"/>
              <w:rPr>
                <w:rFonts w:ascii="Arial" w:hAnsi="Arial" w:cs="Arial"/>
                <w:b/>
                <w:sz w:val="22"/>
                <w:szCs w:val="22"/>
                <w:lang w:eastAsia="en-GB"/>
              </w:rPr>
            </w:pPr>
            <w:r w:rsidRPr="00501C8E">
              <w:rPr>
                <w:rFonts w:ascii="Arial" w:hAnsi="Arial" w:cs="Arial"/>
                <w:b/>
                <w:sz w:val="22"/>
                <w:szCs w:val="22"/>
                <w:lang w:eastAsia="en-GB"/>
              </w:rPr>
              <w:t>1,352</w:t>
            </w:r>
          </w:p>
        </w:tc>
        <w:tc>
          <w:tcPr>
            <w:tcW w:w="1126" w:type="dxa"/>
            <w:tcBorders>
              <w:top w:val="single" w:sz="4" w:space="0" w:color="auto"/>
              <w:left w:val="dotted" w:sz="4" w:space="0" w:color="auto"/>
              <w:bottom w:val="single" w:sz="4" w:space="0" w:color="auto"/>
              <w:right w:val="dotted" w:sz="4" w:space="0" w:color="auto"/>
            </w:tcBorders>
            <w:shd w:val="clear" w:color="auto" w:fill="auto"/>
          </w:tcPr>
          <w:p w:rsidR="00F276CB" w:rsidRPr="00501C8E" w:rsidRDefault="00AF6548" w:rsidP="005756A0">
            <w:pPr>
              <w:tabs>
                <w:tab w:val="left" w:pos="720"/>
              </w:tabs>
              <w:ind w:left="720" w:hanging="720"/>
              <w:jc w:val="right"/>
              <w:rPr>
                <w:rFonts w:ascii="Arial" w:hAnsi="Arial" w:cs="Arial"/>
                <w:b/>
                <w:sz w:val="22"/>
                <w:szCs w:val="22"/>
                <w:highlight w:val="yellow"/>
                <w:lang w:eastAsia="en-GB"/>
              </w:rPr>
            </w:pPr>
            <w:r w:rsidRPr="00501C8E">
              <w:rPr>
                <w:rFonts w:ascii="Arial" w:hAnsi="Arial" w:cs="Arial"/>
                <w:b/>
                <w:sz w:val="22"/>
                <w:szCs w:val="22"/>
                <w:lang w:eastAsia="en-GB"/>
              </w:rPr>
              <w:t>2,</w:t>
            </w:r>
            <w:r w:rsidR="00C759E4" w:rsidRPr="00501C8E">
              <w:rPr>
                <w:rFonts w:ascii="Arial" w:hAnsi="Arial" w:cs="Arial"/>
                <w:b/>
                <w:sz w:val="22"/>
                <w:szCs w:val="22"/>
                <w:lang w:eastAsia="en-GB"/>
              </w:rPr>
              <w:t>2</w:t>
            </w:r>
            <w:r w:rsidR="005756A0" w:rsidRPr="00501C8E">
              <w:rPr>
                <w:rFonts w:ascii="Arial" w:hAnsi="Arial" w:cs="Arial"/>
                <w:b/>
                <w:sz w:val="22"/>
                <w:szCs w:val="22"/>
                <w:lang w:eastAsia="en-GB"/>
              </w:rPr>
              <w:t>37</w:t>
            </w:r>
          </w:p>
        </w:tc>
        <w:tc>
          <w:tcPr>
            <w:tcW w:w="2184" w:type="dxa"/>
            <w:tcBorders>
              <w:top w:val="dotted" w:sz="4" w:space="0" w:color="auto"/>
              <w:left w:val="dotted" w:sz="4" w:space="0" w:color="auto"/>
              <w:bottom w:val="dotted" w:sz="4" w:space="0" w:color="auto"/>
              <w:right w:val="dotted" w:sz="4" w:space="0" w:color="auto"/>
            </w:tcBorders>
            <w:shd w:val="clear" w:color="auto" w:fill="auto"/>
            <w:noWrap/>
            <w:vAlign w:val="bottom"/>
          </w:tcPr>
          <w:p w:rsidR="00F276CB" w:rsidRPr="00501C8E" w:rsidRDefault="00F276CB" w:rsidP="00DF4571">
            <w:pPr>
              <w:ind w:left="27" w:hanging="27"/>
              <w:jc w:val="right"/>
              <w:rPr>
                <w:rFonts w:ascii="Arial" w:hAnsi="Arial" w:cs="Arial"/>
                <w:sz w:val="22"/>
                <w:szCs w:val="22"/>
                <w:highlight w:val="yellow"/>
                <w:lang w:eastAsia="en-GB"/>
              </w:rPr>
            </w:pPr>
          </w:p>
        </w:tc>
      </w:tr>
    </w:tbl>
    <w:p w:rsidR="00F276CB" w:rsidRPr="00501C8E" w:rsidRDefault="00F276CB" w:rsidP="00F21659">
      <w:pPr>
        <w:tabs>
          <w:tab w:val="left" w:pos="720"/>
        </w:tabs>
        <w:ind w:left="720" w:hanging="720"/>
        <w:rPr>
          <w:rFonts w:ascii="Arial" w:hAnsi="Arial" w:cs="Arial"/>
          <w:sz w:val="22"/>
          <w:szCs w:val="22"/>
          <w:highlight w:val="yellow"/>
        </w:rPr>
      </w:pPr>
    </w:p>
    <w:p w:rsidR="00CF10DA" w:rsidRPr="00501C8E" w:rsidRDefault="0011542D" w:rsidP="00E9589B">
      <w:pPr>
        <w:tabs>
          <w:tab w:val="left" w:pos="720"/>
        </w:tabs>
        <w:ind w:left="709"/>
        <w:rPr>
          <w:rFonts w:ascii="Arial" w:hAnsi="Arial" w:cs="Arial"/>
          <w:sz w:val="22"/>
          <w:szCs w:val="22"/>
        </w:rPr>
      </w:pPr>
      <w:r w:rsidRPr="00501C8E">
        <w:rPr>
          <w:rFonts w:ascii="Arial" w:hAnsi="Arial" w:cs="Arial"/>
          <w:sz w:val="22"/>
          <w:szCs w:val="22"/>
        </w:rPr>
        <w:t xml:space="preserve">An updated General Fund Summary (in the Budget Book format) setting out these changes is set </w:t>
      </w:r>
      <w:r w:rsidR="00E9589B" w:rsidRPr="00501C8E">
        <w:rPr>
          <w:rFonts w:ascii="Arial" w:hAnsi="Arial" w:cs="Arial"/>
          <w:sz w:val="22"/>
          <w:szCs w:val="22"/>
        </w:rPr>
        <w:t>out at</w:t>
      </w:r>
      <w:r w:rsidRPr="00501C8E">
        <w:rPr>
          <w:rFonts w:ascii="Arial" w:hAnsi="Arial" w:cs="Arial"/>
          <w:sz w:val="22"/>
          <w:szCs w:val="22"/>
        </w:rPr>
        <w:t xml:space="preserve"> Annex 1</w:t>
      </w:r>
      <w:r w:rsidR="00E9589B" w:rsidRPr="00501C8E">
        <w:rPr>
          <w:rFonts w:ascii="Arial" w:hAnsi="Arial" w:cs="Arial"/>
          <w:sz w:val="22"/>
          <w:szCs w:val="22"/>
        </w:rPr>
        <w:t xml:space="preserve"> </w:t>
      </w:r>
      <w:r w:rsidR="00455FD7">
        <w:rPr>
          <w:rFonts w:ascii="Arial" w:hAnsi="Arial" w:cs="Arial"/>
          <w:sz w:val="22"/>
          <w:szCs w:val="22"/>
        </w:rPr>
        <w:t xml:space="preserve">attached </w:t>
      </w:r>
      <w:r w:rsidR="00E9589B" w:rsidRPr="00501C8E">
        <w:rPr>
          <w:rFonts w:ascii="Arial" w:hAnsi="Arial" w:cs="Arial"/>
          <w:sz w:val="22"/>
          <w:szCs w:val="22"/>
        </w:rPr>
        <w:t>and is explored in more detail in the following paragraphs.</w:t>
      </w:r>
      <w:r w:rsidRPr="00501C8E">
        <w:rPr>
          <w:rFonts w:ascii="Arial" w:hAnsi="Arial" w:cs="Arial"/>
          <w:sz w:val="22"/>
          <w:szCs w:val="22"/>
        </w:rPr>
        <w:t xml:space="preserve">   </w:t>
      </w:r>
    </w:p>
    <w:p w:rsidR="0011542D" w:rsidRPr="00501C8E" w:rsidRDefault="0011542D" w:rsidP="00E9589B">
      <w:pPr>
        <w:tabs>
          <w:tab w:val="left" w:pos="720"/>
        </w:tabs>
        <w:ind w:left="709"/>
        <w:rPr>
          <w:rFonts w:ascii="Arial" w:hAnsi="Arial" w:cs="Arial"/>
          <w:sz w:val="22"/>
          <w:szCs w:val="22"/>
        </w:rPr>
      </w:pPr>
      <w:r w:rsidRPr="00501C8E">
        <w:rPr>
          <w:rFonts w:ascii="Arial" w:hAnsi="Arial" w:cs="Arial"/>
          <w:sz w:val="22"/>
          <w:szCs w:val="22"/>
        </w:rPr>
        <w:tab/>
        <w:t xml:space="preserve"> </w:t>
      </w:r>
    </w:p>
    <w:p w:rsidR="0011542D" w:rsidRPr="00501C8E" w:rsidRDefault="00CF10DA" w:rsidP="00CF10DA">
      <w:pPr>
        <w:tabs>
          <w:tab w:val="left" w:pos="720"/>
        </w:tabs>
        <w:ind w:left="709" w:hanging="709"/>
        <w:rPr>
          <w:rFonts w:ascii="Arial" w:hAnsi="Arial" w:cs="Arial"/>
          <w:sz w:val="22"/>
          <w:szCs w:val="22"/>
        </w:rPr>
      </w:pPr>
      <w:r w:rsidRPr="00501C8E">
        <w:rPr>
          <w:rFonts w:ascii="Arial" w:hAnsi="Arial" w:cs="Arial"/>
          <w:sz w:val="22"/>
          <w:szCs w:val="22"/>
        </w:rPr>
        <w:t>2.2</w:t>
      </w:r>
      <w:r w:rsidRPr="00501C8E">
        <w:rPr>
          <w:rFonts w:ascii="Arial" w:hAnsi="Arial" w:cs="Arial"/>
          <w:sz w:val="22"/>
          <w:szCs w:val="22"/>
        </w:rPr>
        <w:tab/>
        <w:t>Assuming the predictions for the forecast outturn shown in table 1 materialise at the year end, this will reduce the General Fund working balance from £7.981m to £</w:t>
      </w:r>
      <w:r w:rsidR="00BB0CEB" w:rsidRPr="00501C8E">
        <w:rPr>
          <w:rFonts w:ascii="Arial" w:hAnsi="Arial" w:cs="Arial"/>
          <w:sz w:val="22"/>
          <w:szCs w:val="22"/>
        </w:rPr>
        <w:t>5,</w:t>
      </w:r>
      <w:r w:rsidR="00C759E4" w:rsidRPr="00501C8E">
        <w:rPr>
          <w:rFonts w:ascii="Arial" w:hAnsi="Arial" w:cs="Arial"/>
          <w:sz w:val="22"/>
          <w:szCs w:val="22"/>
        </w:rPr>
        <w:t>7</w:t>
      </w:r>
      <w:r w:rsidR="005756A0" w:rsidRPr="00501C8E">
        <w:rPr>
          <w:rFonts w:ascii="Arial" w:hAnsi="Arial" w:cs="Arial"/>
          <w:sz w:val="22"/>
          <w:szCs w:val="22"/>
        </w:rPr>
        <w:t>44</w:t>
      </w:r>
      <w:r w:rsidRPr="00501C8E">
        <w:rPr>
          <w:rFonts w:ascii="Arial" w:hAnsi="Arial" w:cs="Arial"/>
          <w:sz w:val="22"/>
          <w:szCs w:val="22"/>
        </w:rPr>
        <w:t>m at 31 March 2017</w:t>
      </w:r>
      <w:r w:rsidR="00C759E4" w:rsidRPr="00501C8E">
        <w:rPr>
          <w:rFonts w:ascii="Arial" w:hAnsi="Arial" w:cs="Arial"/>
          <w:sz w:val="22"/>
          <w:szCs w:val="22"/>
        </w:rPr>
        <w:t xml:space="preserve"> - a</w:t>
      </w:r>
      <w:r w:rsidR="001B5CCA" w:rsidRPr="00501C8E">
        <w:rPr>
          <w:rFonts w:ascii="Arial" w:hAnsi="Arial" w:cs="Arial"/>
          <w:sz w:val="22"/>
          <w:szCs w:val="22"/>
        </w:rPr>
        <w:t xml:space="preserve"> reduction of £2.</w:t>
      </w:r>
      <w:r w:rsidR="00C759E4" w:rsidRPr="00501C8E">
        <w:rPr>
          <w:rFonts w:ascii="Arial" w:hAnsi="Arial" w:cs="Arial"/>
          <w:sz w:val="22"/>
          <w:szCs w:val="22"/>
        </w:rPr>
        <w:t>2</w:t>
      </w:r>
      <w:r w:rsidR="005756A0" w:rsidRPr="00501C8E">
        <w:rPr>
          <w:rFonts w:ascii="Arial" w:hAnsi="Arial" w:cs="Arial"/>
          <w:sz w:val="22"/>
          <w:szCs w:val="22"/>
        </w:rPr>
        <w:t>37</w:t>
      </w:r>
      <w:r w:rsidR="001B5CCA" w:rsidRPr="00501C8E">
        <w:rPr>
          <w:rFonts w:ascii="Arial" w:hAnsi="Arial" w:cs="Arial"/>
          <w:sz w:val="22"/>
          <w:szCs w:val="22"/>
        </w:rPr>
        <w:t>m.</w:t>
      </w:r>
      <w:r w:rsidRPr="00501C8E">
        <w:rPr>
          <w:rFonts w:ascii="Arial" w:hAnsi="Arial" w:cs="Arial"/>
          <w:sz w:val="22"/>
          <w:szCs w:val="22"/>
        </w:rPr>
        <w:t xml:space="preserve"> </w:t>
      </w:r>
    </w:p>
    <w:p w:rsidR="00735929" w:rsidRPr="00501C8E" w:rsidRDefault="00735929" w:rsidP="00735929">
      <w:pPr>
        <w:tabs>
          <w:tab w:val="left" w:pos="720"/>
        </w:tabs>
        <w:ind w:left="709"/>
        <w:rPr>
          <w:rFonts w:ascii="Arial" w:hAnsi="Arial" w:cs="Arial"/>
          <w:sz w:val="22"/>
          <w:szCs w:val="22"/>
          <w:highlight w:val="yellow"/>
        </w:rPr>
      </w:pPr>
    </w:p>
    <w:p w:rsidR="00217302" w:rsidRPr="00501C8E" w:rsidRDefault="00E9589B" w:rsidP="00F21659">
      <w:pPr>
        <w:tabs>
          <w:tab w:val="left" w:pos="720"/>
        </w:tabs>
        <w:ind w:left="720" w:hanging="720"/>
        <w:rPr>
          <w:rFonts w:ascii="Arial" w:hAnsi="Arial" w:cs="Arial"/>
          <w:sz w:val="22"/>
          <w:szCs w:val="22"/>
          <w:u w:val="single"/>
        </w:rPr>
      </w:pPr>
      <w:r w:rsidRPr="00501C8E">
        <w:rPr>
          <w:rFonts w:ascii="Arial" w:hAnsi="Arial" w:cs="Arial"/>
          <w:sz w:val="22"/>
          <w:szCs w:val="22"/>
        </w:rPr>
        <w:tab/>
      </w:r>
      <w:r w:rsidRPr="00501C8E">
        <w:rPr>
          <w:rFonts w:ascii="Arial" w:hAnsi="Arial" w:cs="Arial"/>
          <w:sz w:val="22"/>
          <w:szCs w:val="22"/>
          <w:u w:val="single"/>
        </w:rPr>
        <w:t>Net Expenditure on Services</w:t>
      </w:r>
    </w:p>
    <w:p w:rsidR="00E9589B" w:rsidRPr="00501C8E" w:rsidRDefault="00E9589B" w:rsidP="00F21659">
      <w:pPr>
        <w:tabs>
          <w:tab w:val="left" w:pos="720"/>
        </w:tabs>
        <w:ind w:left="720" w:hanging="720"/>
        <w:rPr>
          <w:rFonts w:ascii="Arial" w:hAnsi="Arial" w:cs="Arial"/>
          <w:sz w:val="22"/>
          <w:szCs w:val="22"/>
          <w:highlight w:val="yellow"/>
          <w:u w:val="single"/>
        </w:rPr>
      </w:pPr>
    </w:p>
    <w:p w:rsidR="007544AE" w:rsidRPr="00501C8E" w:rsidRDefault="00E9589B" w:rsidP="00BB0CEB">
      <w:pPr>
        <w:pStyle w:val="ListParagraph"/>
        <w:numPr>
          <w:ilvl w:val="1"/>
          <w:numId w:val="43"/>
        </w:numPr>
        <w:ind w:left="709" w:hanging="709"/>
        <w:rPr>
          <w:rFonts w:ascii="Arial" w:hAnsi="Arial" w:cs="Arial"/>
          <w:sz w:val="22"/>
          <w:szCs w:val="22"/>
        </w:rPr>
      </w:pPr>
      <w:r w:rsidRPr="00501C8E">
        <w:rPr>
          <w:rFonts w:ascii="Arial" w:hAnsi="Arial" w:cs="Arial"/>
          <w:sz w:val="22"/>
          <w:szCs w:val="22"/>
        </w:rPr>
        <w:t xml:space="preserve">The General Fund Summary </w:t>
      </w:r>
      <w:r w:rsidR="00AD42D5" w:rsidRPr="00501C8E">
        <w:rPr>
          <w:rFonts w:ascii="Arial" w:hAnsi="Arial" w:cs="Arial"/>
          <w:sz w:val="22"/>
          <w:szCs w:val="22"/>
        </w:rPr>
        <w:t>set out in Annex 1</w:t>
      </w:r>
      <w:r w:rsidR="007544AE" w:rsidRPr="00501C8E">
        <w:rPr>
          <w:rFonts w:ascii="Arial" w:hAnsi="Arial" w:cs="Arial"/>
          <w:sz w:val="22"/>
          <w:szCs w:val="22"/>
        </w:rPr>
        <w:t xml:space="preserve"> sets </w:t>
      </w:r>
      <w:r w:rsidRPr="00501C8E">
        <w:rPr>
          <w:rFonts w:ascii="Arial" w:hAnsi="Arial" w:cs="Arial"/>
          <w:sz w:val="22"/>
          <w:szCs w:val="22"/>
        </w:rPr>
        <w:t xml:space="preserve">out the </w:t>
      </w:r>
      <w:r w:rsidR="007544AE" w:rsidRPr="00501C8E">
        <w:rPr>
          <w:rFonts w:ascii="Arial" w:hAnsi="Arial" w:cs="Arial"/>
          <w:sz w:val="22"/>
          <w:szCs w:val="22"/>
        </w:rPr>
        <w:t xml:space="preserve">net expenditure </w:t>
      </w:r>
      <w:r w:rsidR="003D4EC2" w:rsidRPr="00501C8E">
        <w:rPr>
          <w:rFonts w:ascii="Arial" w:hAnsi="Arial" w:cs="Arial"/>
          <w:sz w:val="22"/>
          <w:szCs w:val="22"/>
        </w:rPr>
        <w:t xml:space="preserve">for each service area </w:t>
      </w:r>
      <w:r w:rsidR="007544AE" w:rsidRPr="00501C8E">
        <w:rPr>
          <w:rFonts w:ascii="Arial" w:hAnsi="Arial" w:cs="Arial"/>
          <w:sz w:val="22"/>
          <w:szCs w:val="22"/>
        </w:rPr>
        <w:t xml:space="preserve">against the </w:t>
      </w:r>
      <w:r w:rsidR="003D4EC2" w:rsidRPr="00501C8E">
        <w:rPr>
          <w:rFonts w:ascii="Arial" w:hAnsi="Arial" w:cs="Arial"/>
          <w:sz w:val="22"/>
          <w:szCs w:val="22"/>
        </w:rPr>
        <w:t>current</w:t>
      </w:r>
      <w:r w:rsidR="00043294" w:rsidRPr="00501C8E">
        <w:rPr>
          <w:rFonts w:ascii="Arial" w:hAnsi="Arial" w:cs="Arial"/>
          <w:sz w:val="22"/>
          <w:szCs w:val="22"/>
        </w:rPr>
        <w:t xml:space="preserve"> </w:t>
      </w:r>
      <w:r w:rsidR="003D4EC2" w:rsidRPr="00501C8E">
        <w:rPr>
          <w:rFonts w:ascii="Arial" w:hAnsi="Arial" w:cs="Arial"/>
          <w:sz w:val="22"/>
          <w:szCs w:val="22"/>
        </w:rPr>
        <w:t xml:space="preserve">budget and the forecast outturn as at 30 </w:t>
      </w:r>
      <w:r w:rsidR="00FA37FE" w:rsidRPr="00501C8E">
        <w:rPr>
          <w:rFonts w:ascii="Arial" w:hAnsi="Arial" w:cs="Arial"/>
          <w:sz w:val="22"/>
          <w:szCs w:val="22"/>
        </w:rPr>
        <w:t>September</w:t>
      </w:r>
      <w:r w:rsidR="003D4EC2" w:rsidRPr="00501C8E">
        <w:rPr>
          <w:rFonts w:ascii="Arial" w:hAnsi="Arial" w:cs="Arial"/>
          <w:sz w:val="22"/>
          <w:szCs w:val="22"/>
        </w:rPr>
        <w:t xml:space="preserve"> 2016</w:t>
      </w:r>
      <w:r w:rsidR="00A447BD" w:rsidRPr="00501C8E">
        <w:rPr>
          <w:rFonts w:ascii="Arial" w:hAnsi="Arial" w:cs="Arial"/>
          <w:sz w:val="22"/>
          <w:szCs w:val="22"/>
        </w:rPr>
        <w:t>.</w:t>
      </w:r>
      <w:r w:rsidRPr="00501C8E">
        <w:rPr>
          <w:rFonts w:ascii="Arial" w:hAnsi="Arial" w:cs="Arial"/>
          <w:sz w:val="22"/>
          <w:szCs w:val="22"/>
        </w:rPr>
        <w:t xml:space="preserve">  The </w:t>
      </w:r>
      <w:r w:rsidR="003D4EC2" w:rsidRPr="00501C8E">
        <w:rPr>
          <w:rFonts w:ascii="Arial" w:hAnsi="Arial" w:cs="Arial"/>
          <w:sz w:val="22"/>
          <w:szCs w:val="22"/>
        </w:rPr>
        <w:t xml:space="preserve">current budget is made up of the original budget amended for any approved </w:t>
      </w:r>
      <w:r w:rsidRPr="00501C8E">
        <w:rPr>
          <w:rFonts w:ascii="Arial" w:hAnsi="Arial" w:cs="Arial"/>
          <w:sz w:val="22"/>
          <w:szCs w:val="22"/>
        </w:rPr>
        <w:t>budget</w:t>
      </w:r>
      <w:r w:rsidR="003D4EC2" w:rsidRPr="00501C8E">
        <w:rPr>
          <w:rFonts w:ascii="Arial" w:hAnsi="Arial" w:cs="Arial"/>
          <w:sz w:val="22"/>
          <w:szCs w:val="22"/>
        </w:rPr>
        <w:t xml:space="preserve">ary changes.  A summary of the </w:t>
      </w:r>
      <w:r w:rsidR="00B2438C" w:rsidRPr="00501C8E">
        <w:rPr>
          <w:rFonts w:ascii="Arial" w:hAnsi="Arial" w:cs="Arial"/>
          <w:sz w:val="22"/>
          <w:szCs w:val="22"/>
        </w:rPr>
        <w:t xml:space="preserve">more significant </w:t>
      </w:r>
      <w:r w:rsidR="003D4EC2" w:rsidRPr="00501C8E">
        <w:rPr>
          <w:rFonts w:ascii="Arial" w:hAnsi="Arial" w:cs="Arial"/>
          <w:sz w:val="22"/>
          <w:szCs w:val="22"/>
        </w:rPr>
        <w:t xml:space="preserve">changes </w:t>
      </w:r>
      <w:r w:rsidR="0047566F" w:rsidRPr="00501C8E">
        <w:rPr>
          <w:rFonts w:ascii="Arial" w:hAnsi="Arial" w:cs="Arial"/>
          <w:sz w:val="22"/>
          <w:szCs w:val="22"/>
        </w:rPr>
        <w:t xml:space="preserve">(over £5,000) </w:t>
      </w:r>
      <w:r w:rsidR="00B2438C" w:rsidRPr="00501C8E">
        <w:rPr>
          <w:rFonts w:ascii="Arial" w:hAnsi="Arial" w:cs="Arial"/>
          <w:sz w:val="22"/>
          <w:szCs w:val="22"/>
        </w:rPr>
        <w:t xml:space="preserve">at the Net Expenditure on Services level </w:t>
      </w:r>
      <w:r w:rsidR="003D4EC2" w:rsidRPr="00501C8E">
        <w:rPr>
          <w:rFonts w:ascii="Arial" w:hAnsi="Arial" w:cs="Arial"/>
          <w:sz w:val="22"/>
          <w:szCs w:val="22"/>
        </w:rPr>
        <w:t xml:space="preserve">is set out in </w:t>
      </w:r>
      <w:r w:rsidR="00455FD7">
        <w:rPr>
          <w:rFonts w:ascii="Arial" w:hAnsi="Arial" w:cs="Arial"/>
          <w:sz w:val="22"/>
          <w:szCs w:val="22"/>
        </w:rPr>
        <w:t>T</w:t>
      </w:r>
      <w:r w:rsidR="003D4EC2" w:rsidRPr="00501C8E">
        <w:rPr>
          <w:rFonts w:ascii="Arial" w:hAnsi="Arial" w:cs="Arial"/>
          <w:sz w:val="22"/>
          <w:szCs w:val="22"/>
        </w:rPr>
        <w:t xml:space="preserve">able 2 below:  </w:t>
      </w:r>
      <w:r w:rsidR="00A447BD" w:rsidRPr="00501C8E">
        <w:rPr>
          <w:rFonts w:ascii="Arial" w:hAnsi="Arial" w:cs="Arial"/>
          <w:sz w:val="22"/>
          <w:szCs w:val="22"/>
        </w:rPr>
        <w:t xml:space="preserve"> </w:t>
      </w:r>
      <w:r w:rsidR="009F4989" w:rsidRPr="00501C8E">
        <w:rPr>
          <w:rFonts w:ascii="Arial" w:hAnsi="Arial" w:cs="Arial"/>
          <w:sz w:val="22"/>
          <w:szCs w:val="22"/>
        </w:rPr>
        <w:t xml:space="preserve"> </w:t>
      </w:r>
    </w:p>
    <w:p w:rsidR="00735929" w:rsidRPr="00501C8E" w:rsidRDefault="00735929" w:rsidP="003D4EC2">
      <w:pPr>
        <w:pStyle w:val="ListParagraph"/>
        <w:ind w:left="709"/>
        <w:rPr>
          <w:rFonts w:ascii="Arial" w:hAnsi="Arial" w:cs="Arial"/>
          <w:sz w:val="22"/>
          <w:szCs w:val="22"/>
          <w:highlight w:val="yellow"/>
        </w:rPr>
      </w:pPr>
    </w:p>
    <w:tbl>
      <w:tblPr>
        <w:tblW w:w="8730"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502"/>
        <w:gridCol w:w="1228"/>
      </w:tblGrid>
      <w:tr w:rsidR="003D4EC2" w:rsidRPr="00501C8E" w:rsidTr="00E15FCF">
        <w:trPr>
          <w:trHeight w:val="255"/>
        </w:trPr>
        <w:tc>
          <w:tcPr>
            <w:tcW w:w="8730" w:type="dxa"/>
            <w:gridSpan w:val="2"/>
            <w:shd w:val="clear" w:color="auto" w:fill="BFBFBF" w:themeFill="background1" w:themeFillShade="BF"/>
            <w:noWrap/>
            <w:vAlign w:val="bottom"/>
          </w:tcPr>
          <w:p w:rsidR="003D4EC2" w:rsidRPr="00501C8E" w:rsidRDefault="003D4EC2" w:rsidP="003D4EC2">
            <w:pPr>
              <w:jc w:val="center"/>
              <w:rPr>
                <w:rFonts w:ascii="Arial" w:hAnsi="Arial" w:cs="Arial"/>
                <w:sz w:val="22"/>
                <w:szCs w:val="22"/>
              </w:rPr>
            </w:pPr>
            <w:r w:rsidRPr="00501C8E">
              <w:rPr>
                <w:rFonts w:ascii="Arial" w:hAnsi="Arial" w:cs="Arial"/>
                <w:b/>
                <w:sz w:val="22"/>
                <w:szCs w:val="22"/>
                <w:lang w:eastAsia="en-GB"/>
              </w:rPr>
              <w:t>Table 2 – Changes in Net Expenditure on Services</w:t>
            </w:r>
          </w:p>
        </w:tc>
      </w:tr>
      <w:tr w:rsidR="003D4EC2" w:rsidRPr="00501C8E" w:rsidTr="00E15FCF">
        <w:trPr>
          <w:trHeight w:val="255"/>
        </w:trPr>
        <w:tc>
          <w:tcPr>
            <w:tcW w:w="7502" w:type="dxa"/>
            <w:shd w:val="clear" w:color="auto" w:fill="auto"/>
            <w:noWrap/>
            <w:vAlign w:val="bottom"/>
          </w:tcPr>
          <w:p w:rsidR="003D4EC2" w:rsidRPr="00501C8E" w:rsidRDefault="00D06BE6" w:rsidP="007A438E">
            <w:pPr>
              <w:tabs>
                <w:tab w:val="left" w:pos="522"/>
              </w:tabs>
              <w:ind w:left="162"/>
              <w:rPr>
                <w:rStyle w:val="endsenrhsennumparatext"/>
                <w:rFonts w:ascii="Arial" w:hAnsi="Arial" w:cs="Arial"/>
                <w:sz w:val="22"/>
                <w:szCs w:val="22"/>
                <w:lang w:val="en"/>
              </w:rPr>
            </w:pPr>
            <w:r w:rsidRPr="00501C8E">
              <w:rPr>
                <w:rStyle w:val="endsenrhsennumparatext"/>
                <w:rFonts w:ascii="Arial" w:hAnsi="Arial" w:cs="Arial"/>
                <w:sz w:val="22"/>
                <w:szCs w:val="22"/>
                <w:lang w:val="en"/>
              </w:rPr>
              <w:t>( ) = reduced expend or increased income</w:t>
            </w:r>
          </w:p>
          <w:p w:rsidR="00D06BE6" w:rsidRPr="00501C8E" w:rsidRDefault="00D06BE6" w:rsidP="007A438E">
            <w:pPr>
              <w:tabs>
                <w:tab w:val="left" w:pos="522"/>
              </w:tabs>
              <w:ind w:left="162"/>
              <w:rPr>
                <w:rStyle w:val="endsenrhsennumparatext"/>
                <w:rFonts w:ascii="Arial" w:hAnsi="Arial" w:cs="Arial"/>
                <w:b/>
                <w:sz w:val="22"/>
                <w:szCs w:val="22"/>
                <w:lang w:val="en"/>
              </w:rPr>
            </w:pPr>
          </w:p>
        </w:tc>
        <w:tc>
          <w:tcPr>
            <w:tcW w:w="1228" w:type="dxa"/>
            <w:shd w:val="clear" w:color="auto" w:fill="auto"/>
            <w:noWrap/>
          </w:tcPr>
          <w:p w:rsidR="003D4EC2" w:rsidRPr="00501C8E" w:rsidRDefault="003D4EC2" w:rsidP="007A438E">
            <w:pPr>
              <w:jc w:val="center"/>
              <w:rPr>
                <w:rFonts w:ascii="Arial" w:hAnsi="Arial" w:cs="Arial"/>
                <w:b/>
                <w:sz w:val="22"/>
                <w:szCs w:val="22"/>
                <w:lang w:eastAsia="en-GB"/>
              </w:rPr>
            </w:pPr>
            <w:r w:rsidRPr="00501C8E">
              <w:rPr>
                <w:rFonts w:ascii="Arial" w:hAnsi="Arial" w:cs="Arial"/>
                <w:b/>
                <w:sz w:val="22"/>
                <w:szCs w:val="22"/>
                <w:lang w:eastAsia="en-GB"/>
              </w:rPr>
              <w:t>2016/17</w:t>
            </w:r>
          </w:p>
          <w:p w:rsidR="003D4EC2" w:rsidRPr="00501C8E" w:rsidRDefault="003D4EC2" w:rsidP="007A438E">
            <w:pPr>
              <w:jc w:val="center"/>
              <w:rPr>
                <w:rFonts w:ascii="Arial" w:hAnsi="Arial" w:cs="Arial"/>
                <w:sz w:val="22"/>
                <w:szCs w:val="22"/>
              </w:rPr>
            </w:pPr>
            <w:r w:rsidRPr="00501C8E">
              <w:rPr>
                <w:rFonts w:ascii="Arial" w:hAnsi="Arial" w:cs="Arial"/>
                <w:b/>
                <w:sz w:val="22"/>
                <w:szCs w:val="22"/>
                <w:lang w:eastAsia="en-GB"/>
              </w:rPr>
              <w:t>£’000</w:t>
            </w:r>
          </w:p>
        </w:tc>
      </w:tr>
      <w:tr w:rsidR="00735929" w:rsidRPr="00501C8E" w:rsidTr="00E15FCF">
        <w:trPr>
          <w:trHeight w:val="255"/>
        </w:trPr>
        <w:tc>
          <w:tcPr>
            <w:tcW w:w="7502" w:type="dxa"/>
            <w:shd w:val="clear" w:color="auto" w:fill="auto"/>
            <w:noWrap/>
            <w:vAlign w:val="center"/>
          </w:tcPr>
          <w:p w:rsidR="00735929" w:rsidRPr="00501C8E" w:rsidRDefault="00735929" w:rsidP="007A438E">
            <w:pPr>
              <w:tabs>
                <w:tab w:val="left" w:pos="522"/>
              </w:tabs>
              <w:ind w:left="162"/>
              <w:rPr>
                <w:rStyle w:val="endsenrhsennumparatext"/>
                <w:rFonts w:ascii="Arial" w:hAnsi="Arial" w:cs="Arial"/>
                <w:b/>
                <w:sz w:val="22"/>
                <w:szCs w:val="22"/>
                <w:highlight w:val="yellow"/>
                <w:lang w:val="en"/>
              </w:rPr>
            </w:pPr>
          </w:p>
        </w:tc>
        <w:tc>
          <w:tcPr>
            <w:tcW w:w="1228" w:type="dxa"/>
            <w:shd w:val="clear" w:color="auto" w:fill="auto"/>
            <w:noWrap/>
            <w:vAlign w:val="center"/>
          </w:tcPr>
          <w:p w:rsidR="00735929" w:rsidRPr="00501C8E" w:rsidRDefault="00735929" w:rsidP="007A438E">
            <w:pPr>
              <w:jc w:val="right"/>
              <w:rPr>
                <w:rFonts w:ascii="Arial" w:hAnsi="Arial" w:cs="Arial"/>
                <w:b/>
                <w:sz w:val="22"/>
                <w:szCs w:val="22"/>
                <w:highlight w:val="yellow"/>
                <w:lang w:eastAsia="en-GB"/>
              </w:rPr>
            </w:pPr>
          </w:p>
        </w:tc>
      </w:tr>
      <w:tr w:rsidR="00735929" w:rsidRPr="00501C8E" w:rsidTr="00E15FCF">
        <w:trPr>
          <w:trHeight w:val="255"/>
        </w:trPr>
        <w:tc>
          <w:tcPr>
            <w:tcW w:w="7502" w:type="dxa"/>
            <w:shd w:val="clear" w:color="auto" w:fill="auto"/>
            <w:noWrap/>
            <w:vAlign w:val="center"/>
          </w:tcPr>
          <w:p w:rsidR="00735929" w:rsidRPr="00501C8E" w:rsidRDefault="003D4EC2" w:rsidP="007A438E">
            <w:pPr>
              <w:tabs>
                <w:tab w:val="left" w:pos="522"/>
              </w:tabs>
              <w:ind w:left="162"/>
              <w:rPr>
                <w:rStyle w:val="endsenrhsennumparatext"/>
                <w:rFonts w:ascii="Arial" w:hAnsi="Arial" w:cs="Arial"/>
                <w:b/>
                <w:sz w:val="22"/>
                <w:szCs w:val="22"/>
                <w:lang w:val="en"/>
              </w:rPr>
            </w:pPr>
            <w:r w:rsidRPr="00501C8E">
              <w:rPr>
                <w:rFonts w:ascii="Arial" w:hAnsi="Arial" w:cs="Arial"/>
                <w:b/>
                <w:sz w:val="22"/>
                <w:szCs w:val="22"/>
              </w:rPr>
              <w:t xml:space="preserve">Original </w:t>
            </w:r>
            <w:r w:rsidR="00B2438C" w:rsidRPr="00501C8E">
              <w:rPr>
                <w:rStyle w:val="endsenrhsennumparatext"/>
                <w:rFonts w:ascii="Arial" w:hAnsi="Arial" w:cs="Arial"/>
                <w:b/>
                <w:sz w:val="22"/>
                <w:szCs w:val="22"/>
                <w:lang w:val="en"/>
              </w:rPr>
              <w:t>Net Expenditure on Services</w:t>
            </w:r>
            <w:r w:rsidR="00735929" w:rsidRPr="00501C8E">
              <w:rPr>
                <w:rStyle w:val="endsenrhsennumparatext"/>
                <w:rFonts w:ascii="Arial" w:hAnsi="Arial" w:cs="Arial"/>
                <w:b/>
                <w:sz w:val="22"/>
                <w:szCs w:val="22"/>
                <w:lang w:val="en"/>
              </w:rPr>
              <w:t>:</w:t>
            </w:r>
          </w:p>
        </w:tc>
        <w:tc>
          <w:tcPr>
            <w:tcW w:w="1228" w:type="dxa"/>
            <w:shd w:val="clear" w:color="auto" w:fill="auto"/>
            <w:noWrap/>
            <w:vAlign w:val="center"/>
          </w:tcPr>
          <w:p w:rsidR="00735929" w:rsidRPr="00501C8E" w:rsidRDefault="00B2438C" w:rsidP="007A438E">
            <w:pPr>
              <w:jc w:val="right"/>
              <w:rPr>
                <w:rFonts w:ascii="Arial" w:hAnsi="Arial" w:cs="Arial"/>
                <w:b/>
                <w:sz w:val="22"/>
                <w:szCs w:val="22"/>
                <w:highlight w:val="yellow"/>
                <w:lang w:eastAsia="en-GB"/>
              </w:rPr>
            </w:pPr>
            <w:r w:rsidRPr="00501C8E">
              <w:rPr>
                <w:rFonts w:ascii="Arial" w:hAnsi="Arial" w:cs="Arial"/>
                <w:b/>
                <w:sz w:val="22"/>
                <w:szCs w:val="22"/>
                <w:lang w:eastAsia="en-GB"/>
              </w:rPr>
              <w:t>11,115</w:t>
            </w:r>
          </w:p>
        </w:tc>
      </w:tr>
      <w:tr w:rsidR="00B2438C" w:rsidRPr="00501C8E" w:rsidTr="00E15FCF">
        <w:trPr>
          <w:trHeight w:val="255"/>
        </w:trPr>
        <w:tc>
          <w:tcPr>
            <w:tcW w:w="7502" w:type="dxa"/>
            <w:shd w:val="clear" w:color="auto" w:fill="auto"/>
            <w:noWrap/>
            <w:vAlign w:val="center"/>
          </w:tcPr>
          <w:p w:rsidR="00B2438C" w:rsidRPr="00501C8E" w:rsidRDefault="00B2438C" w:rsidP="007A438E">
            <w:pPr>
              <w:tabs>
                <w:tab w:val="left" w:pos="522"/>
              </w:tabs>
              <w:ind w:left="162"/>
              <w:rPr>
                <w:rFonts w:ascii="Arial" w:hAnsi="Arial" w:cs="Arial"/>
                <w:b/>
                <w:sz w:val="22"/>
                <w:szCs w:val="22"/>
              </w:rPr>
            </w:pPr>
          </w:p>
        </w:tc>
        <w:tc>
          <w:tcPr>
            <w:tcW w:w="1228" w:type="dxa"/>
            <w:shd w:val="clear" w:color="auto" w:fill="auto"/>
            <w:noWrap/>
            <w:vAlign w:val="center"/>
          </w:tcPr>
          <w:p w:rsidR="00B2438C" w:rsidRPr="00501C8E" w:rsidRDefault="00B2438C" w:rsidP="007A438E">
            <w:pPr>
              <w:jc w:val="right"/>
              <w:rPr>
                <w:rFonts w:ascii="Arial" w:hAnsi="Arial" w:cs="Arial"/>
                <w:b/>
                <w:sz w:val="22"/>
                <w:szCs w:val="22"/>
                <w:lang w:eastAsia="en-GB"/>
              </w:rPr>
            </w:pPr>
          </w:p>
        </w:tc>
      </w:tr>
      <w:tr w:rsidR="00BB0CEB" w:rsidRPr="00501C8E" w:rsidTr="00E15FCF">
        <w:trPr>
          <w:trHeight w:val="255"/>
        </w:trPr>
        <w:tc>
          <w:tcPr>
            <w:tcW w:w="7502" w:type="dxa"/>
            <w:shd w:val="clear" w:color="auto" w:fill="auto"/>
            <w:noWrap/>
            <w:vAlign w:val="bottom"/>
          </w:tcPr>
          <w:p w:rsidR="00BB0CEB" w:rsidRPr="00501C8E" w:rsidRDefault="00BB0CEB" w:rsidP="002E370D">
            <w:pPr>
              <w:tabs>
                <w:tab w:val="left" w:pos="522"/>
              </w:tabs>
              <w:ind w:left="162"/>
              <w:rPr>
                <w:rStyle w:val="endsenrhsennumparatext"/>
                <w:rFonts w:ascii="Arial" w:hAnsi="Arial" w:cs="Arial"/>
                <w:b/>
                <w:sz w:val="22"/>
                <w:szCs w:val="22"/>
                <w:lang w:val="en"/>
              </w:rPr>
            </w:pPr>
            <w:r w:rsidRPr="00501C8E">
              <w:rPr>
                <w:rStyle w:val="endsenrhsennumparatext"/>
                <w:rFonts w:ascii="Arial" w:hAnsi="Arial" w:cs="Arial"/>
                <w:b/>
                <w:sz w:val="22"/>
                <w:szCs w:val="22"/>
                <w:lang w:val="en"/>
              </w:rPr>
              <w:t>General</w:t>
            </w:r>
          </w:p>
        </w:tc>
        <w:tc>
          <w:tcPr>
            <w:tcW w:w="1228" w:type="dxa"/>
            <w:tcBorders>
              <w:bottom w:val="dotted" w:sz="4" w:space="0" w:color="auto"/>
            </w:tcBorders>
            <w:shd w:val="clear" w:color="auto" w:fill="auto"/>
            <w:noWrap/>
            <w:vAlign w:val="bottom"/>
          </w:tcPr>
          <w:p w:rsidR="00BB0CEB" w:rsidRPr="00501C8E" w:rsidRDefault="00BB0CEB" w:rsidP="002E370D">
            <w:pPr>
              <w:tabs>
                <w:tab w:val="left" w:pos="720"/>
              </w:tabs>
              <w:ind w:left="720" w:hanging="720"/>
              <w:jc w:val="right"/>
              <w:rPr>
                <w:rFonts w:ascii="Arial" w:hAnsi="Arial" w:cs="Arial"/>
                <w:b/>
                <w:sz w:val="22"/>
                <w:szCs w:val="22"/>
                <w:lang w:eastAsia="en-GB"/>
              </w:rPr>
            </w:pPr>
          </w:p>
        </w:tc>
      </w:tr>
      <w:tr w:rsidR="00BB0CEB" w:rsidRPr="00501C8E" w:rsidTr="00E15FCF">
        <w:trPr>
          <w:trHeight w:val="255"/>
        </w:trPr>
        <w:tc>
          <w:tcPr>
            <w:tcW w:w="7502" w:type="dxa"/>
            <w:shd w:val="clear" w:color="auto" w:fill="auto"/>
            <w:noWrap/>
            <w:vAlign w:val="bottom"/>
          </w:tcPr>
          <w:p w:rsidR="00BB0CEB" w:rsidRPr="00501C8E" w:rsidRDefault="00BB0CEB" w:rsidP="00BB0CEB">
            <w:pPr>
              <w:numPr>
                <w:ilvl w:val="0"/>
                <w:numId w:val="6"/>
              </w:numPr>
              <w:tabs>
                <w:tab w:val="clear" w:pos="1440"/>
                <w:tab w:val="left" w:pos="522"/>
              </w:tabs>
              <w:ind w:left="522"/>
              <w:rPr>
                <w:rFonts w:ascii="Arial" w:hAnsi="Arial" w:cs="Arial"/>
                <w:sz w:val="22"/>
                <w:szCs w:val="22"/>
                <w:lang w:eastAsia="en-GB"/>
              </w:rPr>
            </w:pPr>
            <w:r w:rsidRPr="00501C8E">
              <w:rPr>
                <w:rFonts w:ascii="Arial" w:hAnsi="Arial" w:cs="Arial"/>
                <w:sz w:val="22"/>
                <w:szCs w:val="22"/>
                <w:lang w:eastAsia="en-GB"/>
              </w:rPr>
              <w:t>Salaries (paragraph 2.4)</w:t>
            </w:r>
          </w:p>
        </w:tc>
        <w:tc>
          <w:tcPr>
            <w:tcW w:w="1228" w:type="dxa"/>
            <w:tcBorders>
              <w:bottom w:val="dotted" w:sz="4" w:space="0" w:color="auto"/>
            </w:tcBorders>
            <w:shd w:val="clear" w:color="auto" w:fill="auto"/>
            <w:noWrap/>
            <w:vAlign w:val="bottom"/>
          </w:tcPr>
          <w:p w:rsidR="00BB0CEB" w:rsidRPr="00501C8E" w:rsidRDefault="00BB0CEB" w:rsidP="002E370D">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0</w:t>
            </w:r>
          </w:p>
        </w:tc>
      </w:tr>
      <w:tr w:rsidR="00BB0CEB" w:rsidRPr="00501C8E" w:rsidTr="00E15FCF">
        <w:trPr>
          <w:trHeight w:val="255"/>
        </w:trPr>
        <w:tc>
          <w:tcPr>
            <w:tcW w:w="7502" w:type="dxa"/>
            <w:shd w:val="clear" w:color="auto" w:fill="auto"/>
            <w:noWrap/>
            <w:vAlign w:val="bottom"/>
          </w:tcPr>
          <w:p w:rsidR="00BB0CEB" w:rsidRPr="00501C8E" w:rsidRDefault="00BB0CEB" w:rsidP="00BB0CEB">
            <w:pPr>
              <w:numPr>
                <w:ilvl w:val="0"/>
                <w:numId w:val="6"/>
              </w:numPr>
              <w:tabs>
                <w:tab w:val="clear" w:pos="1440"/>
                <w:tab w:val="left" w:pos="522"/>
              </w:tabs>
              <w:ind w:left="522"/>
              <w:rPr>
                <w:rFonts w:ascii="Arial" w:hAnsi="Arial" w:cs="Arial"/>
                <w:sz w:val="22"/>
                <w:szCs w:val="22"/>
                <w:lang w:eastAsia="en-GB"/>
              </w:rPr>
            </w:pPr>
            <w:r w:rsidRPr="00501C8E">
              <w:rPr>
                <w:rFonts w:ascii="Arial" w:hAnsi="Arial" w:cs="Arial"/>
                <w:sz w:val="22"/>
                <w:szCs w:val="22"/>
                <w:lang w:eastAsia="en-GB"/>
              </w:rPr>
              <w:t>£300,000 Savings target – Savings not yet identified (paragraph 2.6)</w:t>
            </w:r>
          </w:p>
        </w:tc>
        <w:tc>
          <w:tcPr>
            <w:tcW w:w="1228" w:type="dxa"/>
            <w:tcBorders>
              <w:bottom w:val="dotted" w:sz="4" w:space="0" w:color="auto"/>
            </w:tcBorders>
            <w:shd w:val="clear" w:color="auto" w:fill="auto"/>
            <w:noWrap/>
            <w:vAlign w:val="bottom"/>
          </w:tcPr>
          <w:p w:rsidR="00BB0CEB" w:rsidRPr="00501C8E" w:rsidRDefault="000D7D4C" w:rsidP="0036404A">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2</w:t>
            </w:r>
            <w:r w:rsidR="004D22DE" w:rsidRPr="00501C8E">
              <w:rPr>
                <w:rFonts w:ascii="Arial" w:hAnsi="Arial" w:cs="Arial"/>
                <w:sz w:val="22"/>
                <w:szCs w:val="22"/>
                <w:lang w:eastAsia="en-GB"/>
              </w:rPr>
              <w:t>5</w:t>
            </w:r>
            <w:r w:rsidR="0036404A" w:rsidRPr="00501C8E">
              <w:rPr>
                <w:rFonts w:ascii="Arial" w:hAnsi="Arial" w:cs="Arial"/>
                <w:sz w:val="22"/>
                <w:szCs w:val="22"/>
                <w:lang w:eastAsia="en-GB"/>
              </w:rPr>
              <w:t>3</w:t>
            </w:r>
          </w:p>
        </w:tc>
      </w:tr>
      <w:tr w:rsidR="002E370D" w:rsidRPr="00501C8E" w:rsidTr="00E15FCF">
        <w:trPr>
          <w:trHeight w:val="255"/>
        </w:trPr>
        <w:tc>
          <w:tcPr>
            <w:tcW w:w="7502" w:type="dxa"/>
            <w:shd w:val="clear" w:color="auto" w:fill="auto"/>
            <w:noWrap/>
            <w:vAlign w:val="bottom"/>
          </w:tcPr>
          <w:p w:rsidR="002E370D" w:rsidRPr="00501C8E" w:rsidRDefault="002E370D" w:rsidP="002E370D">
            <w:pPr>
              <w:numPr>
                <w:ilvl w:val="0"/>
                <w:numId w:val="6"/>
              </w:numPr>
              <w:tabs>
                <w:tab w:val="clear" w:pos="1440"/>
                <w:tab w:val="left" w:pos="522"/>
              </w:tabs>
              <w:ind w:left="522"/>
              <w:rPr>
                <w:rFonts w:ascii="Arial" w:hAnsi="Arial" w:cs="Arial"/>
                <w:sz w:val="22"/>
                <w:szCs w:val="22"/>
                <w:lang w:eastAsia="en-GB"/>
              </w:rPr>
            </w:pPr>
            <w:r w:rsidRPr="00501C8E">
              <w:rPr>
                <w:rFonts w:ascii="Arial" w:hAnsi="Arial" w:cs="Arial"/>
                <w:sz w:val="22"/>
                <w:szCs w:val="22"/>
                <w:lang w:eastAsia="en-GB"/>
              </w:rPr>
              <w:t>Strategic Maintenance Plan – 2016/17 programme lower than anticipated</w:t>
            </w:r>
          </w:p>
        </w:tc>
        <w:tc>
          <w:tcPr>
            <w:tcW w:w="1228" w:type="dxa"/>
            <w:tcBorders>
              <w:bottom w:val="dotted" w:sz="4" w:space="0" w:color="auto"/>
            </w:tcBorders>
            <w:shd w:val="clear" w:color="auto" w:fill="auto"/>
            <w:noWrap/>
            <w:vAlign w:val="bottom"/>
          </w:tcPr>
          <w:p w:rsidR="002E370D" w:rsidRPr="00501C8E" w:rsidRDefault="002E370D" w:rsidP="002E370D">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(31)</w:t>
            </w:r>
          </w:p>
        </w:tc>
      </w:tr>
      <w:tr w:rsidR="00BB0CEB" w:rsidRPr="00501C8E" w:rsidTr="00E15FCF">
        <w:trPr>
          <w:trHeight w:val="255"/>
        </w:trPr>
        <w:tc>
          <w:tcPr>
            <w:tcW w:w="7502" w:type="dxa"/>
            <w:shd w:val="clear" w:color="auto" w:fill="auto"/>
            <w:noWrap/>
            <w:vAlign w:val="bottom"/>
          </w:tcPr>
          <w:p w:rsidR="00BB0CEB" w:rsidRPr="00501C8E" w:rsidRDefault="00BB0CEB" w:rsidP="002E370D">
            <w:pPr>
              <w:numPr>
                <w:ilvl w:val="0"/>
                <w:numId w:val="6"/>
              </w:numPr>
              <w:tabs>
                <w:tab w:val="clear" w:pos="1440"/>
                <w:tab w:val="left" w:pos="522"/>
              </w:tabs>
              <w:ind w:left="522"/>
              <w:rPr>
                <w:rFonts w:ascii="Arial" w:hAnsi="Arial" w:cs="Arial"/>
                <w:sz w:val="22"/>
                <w:szCs w:val="22"/>
                <w:lang w:eastAsia="en-GB"/>
              </w:rPr>
            </w:pPr>
            <w:r w:rsidRPr="00501C8E">
              <w:rPr>
                <w:rFonts w:ascii="Arial" w:hAnsi="Arial" w:cs="Arial"/>
                <w:sz w:val="22"/>
                <w:szCs w:val="22"/>
                <w:lang w:eastAsia="en-GB"/>
              </w:rPr>
              <w:t>Vehicles - estimated overspend</w:t>
            </w:r>
            <w:r w:rsidR="005756A0" w:rsidRPr="00501C8E">
              <w:rPr>
                <w:rFonts w:ascii="Arial" w:hAnsi="Arial" w:cs="Arial"/>
                <w:sz w:val="22"/>
                <w:szCs w:val="22"/>
                <w:lang w:eastAsia="en-GB"/>
              </w:rPr>
              <w:t xml:space="preserve"> (paragraph 2.10)</w:t>
            </w:r>
          </w:p>
        </w:tc>
        <w:tc>
          <w:tcPr>
            <w:tcW w:w="1228" w:type="dxa"/>
            <w:tcBorders>
              <w:bottom w:val="dotted" w:sz="4" w:space="0" w:color="auto"/>
            </w:tcBorders>
            <w:shd w:val="clear" w:color="auto" w:fill="auto"/>
            <w:noWrap/>
            <w:vAlign w:val="bottom"/>
          </w:tcPr>
          <w:p w:rsidR="00BB0CEB" w:rsidRPr="00501C8E" w:rsidRDefault="003E7B84" w:rsidP="002E370D">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80</w:t>
            </w:r>
          </w:p>
        </w:tc>
      </w:tr>
      <w:tr w:rsidR="00C562DB" w:rsidRPr="00501C8E" w:rsidTr="00C562DB">
        <w:trPr>
          <w:trHeight w:val="255"/>
        </w:trPr>
        <w:tc>
          <w:tcPr>
            <w:tcW w:w="7502" w:type="dxa"/>
            <w:shd w:val="clear" w:color="auto" w:fill="auto"/>
            <w:noWrap/>
            <w:vAlign w:val="bottom"/>
          </w:tcPr>
          <w:p w:rsidR="00C562DB" w:rsidRPr="00501C8E" w:rsidRDefault="00C562DB" w:rsidP="00C562DB">
            <w:pPr>
              <w:numPr>
                <w:ilvl w:val="0"/>
                <w:numId w:val="6"/>
              </w:numPr>
              <w:tabs>
                <w:tab w:val="clear" w:pos="1440"/>
                <w:tab w:val="left" w:pos="522"/>
              </w:tabs>
              <w:ind w:left="522"/>
              <w:rPr>
                <w:rFonts w:ascii="Arial" w:hAnsi="Arial" w:cs="Arial"/>
                <w:sz w:val="22"/>
                <w:szCs w:val="22"/>
                <w:lang w:eastAsia="en-GB"/>
              </w:rPr>
            </w:pPr>
            <w:r w:rsidRPr="00501C8E">
              <w:rPr>
                <w:rFonts w:ascii="Arial" w:hAnsi="Arial" w:cs="Arial"/>
                <w:sz w:val="22"/>
                <w:szCs w:val="22"/>
                <w:lang w:eastAsia="en-GB"/>
              </w:rPr>
              <w:t>Interest on Development Loans to RBC companies</w:t>
            </w:r>
          </w:p>
        </w:tc>
        <w:tc>
          <w:tcPr>
            <w:tcW w:w="1228" w:type="dxa"/>
            <w:tcBorders>
              <w:bottom w:val="dotted" w:sz="4" w:space="0" w:color="auto"/>
            </w:tcBorders>
            <w:shd w:val="clear" w:color="auto" w:fill="auto"/>
            <w:noWrap/>
            <w:vAlign w:val="bottom"/>
          </w:tcPr>
          <w:p w:rsidR="00C562DB" w:rsidRPr="00501C8E" w:rsidRDefault="00C562DB" w:rsidP="00C562DB">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(35)</w:t>
            </w:r>
          </w:p>
        </w:tc>
      </w:tr>
      <w:tr w:rsidR="00BB0CEB" w:rsidRPr="00501C8E" w:rsidTr="00E15FCF">
        <w:trPr>
          <w:trHeight w:val="255"/>
        </w:trPr>
        <w:tc>
          <w:tcPr>
            <w:tcW w:w="7502" w:type="dxa"/>
            <w:shd w:val="clear" w:color="auto" w:fill="auto"/>
            <w:noWrap/>
            <w:vAlign w:val="bottom"/>
          </w:tcPr>
          <w:p w:rsidR="00BB0CEB" w:rsidRPr="00501C8E" w:rsidRDefault="00BB0CEB" w:rsidP="00BB0CEB">
            <w:pPr>
              <w:tabs>
                <w:tab w:val="left" w:pos="522"/>
              </w:tabs>
              <w:ind w:left="522"/>
              <w:rPr>
                <w:rFonts w:ascii="Arial" w:hAnsi="Arial" w:cs="Arial"/>
                <w:sz w:val="22"/>
                <w:szCs w:val="22"/>
                <w:lang w:eastAsia="en-GB"/>
              </w:rPr>
            </w:pPr>
          </w:p>
        </w:tc>
        <w:tc>
          <w:tcPr>
            <w:tcW w:w="1228" w:type="dxa"/>
            <w:tcBorders>
              <w:bottom w:val="dotted" w:sz="4" w:space="0" w:color="auto"/>
            </w:tcBorders>
            <w:shd w:val="clear" w:color="auto" w:fill="auto"/>
            <w:noWrap/>
            <w:vAlign w:val="bottom"/>
          </w:tcPr>
          <w:p w:rsidR="00BB0CEB" w:rsidRPr="00501C8E" w:rsidRDefault="00BB0CEB" w:rsidP="002E370D">
            <w:pPr>
              <w:tabs>
                <w:tab w:val="left" w:pos="720"/>
              </w:tabs>
              <w:ind w:left="720" w:hanging="720"/>
              <w:jc w:val="right"/>
              <w:rPr>
                <w:rFonts w:ascii="Arial" w:hAnsi="Arial" w:cs="Arial"/>
                <w:sz w:val="22"/>
                <w:szCs w:val="22"/>
                <w:lang w:eastAsia="en-GB"/>
              </w:rPr>
            </w:pPr>
          </w:p>
        </w:tc>
      </w:tr>
      <w:tr w:rsidR="00B2438C" w:rsidRPr="00501C8E" w:rsidTr="00E15FCF">
        <w:trPr>
          <w:trHeight w:val="255"/>
        </w:trPr>
        <w:tc>
          <w:tcPr>
            <w:tcW w:w="7502" w:type="dxa"/>
            <w:shd w:val="clear" w:color="auto" w:fill="auto"/>
            <w:noWrap/>
            <w:vAlign w:val="center"/>
          </w:tcPr>
          <w:p w:rsidR="00B2438C" w:rsidRPr="00501C8E" w:rsidRDefault="00B2438C" w:rsidP="007A438E">
            <w:pPr>
              <w:tabs>
                <w:tab w:val="left" w:pos="720"/>
              </w:tabs>
              <w:ind w:left="720" w:hanging="555"/>
              <w:rPr>
                <w:rFonts w:ascii="Arial" w:hAnsi="Arial" w:cs="Arial"/>
                <w:b/>
                <w:sz w:val="22"/>
                <w:szCs w:val="22"/>
                <w:lang w:eastAsia="en-GB"/>
              </w:rPr>
            </w:pPr>
            <w:r w:rsidRPr="00501C8E">
              <w:rPr>
                <w:rFonts w:ascii="Arial" w:hAnsi="Arial" w:cs="Arial"/>
                <w:b/>
                <w:sz w:val="22"/>
                <w:szCs w:val="22"/>
                <w:lang w:eastAsia="en-GB"/>
              </w:rPr>
              <w:t>Housing Committee</w:t>
            </w:r>
          </w:p>
        </w:tc>
        <w:tc>
          <w:tcPr>
            <w:tcW w:w="1228" w:type="dxa"/>
            <w:tcBorders>
              <w:bottom w:val="dotted" w:sz="4" w:space="0" w:color="auto"/>
            </w:tcBorders>
            <w:shd w:val="clear" w:color="auto" w:fill="auto"/>
            <w:noWrap/>
            <w:vAlign w:val="bottom"/>
          </w:tcPr>
          <w:p w:rsidR="00B2438C" w:rsidRPr="00501C8E" w:rsidRDefault="00B2438C" w:rsidP="007A438E">
            <w:pPr>
              <w:tabs>
                <w:tab w:val="left" w:pos="720"/>
              </w:tabs>
              <w:ind w:left="720" w:hanging="720"/>
              <w:jc w:val="center"/>
              <w:rPr>
                <w:rFonts w:ascii="Arial" w:hAnsi="Arial" w:cs="Arial"/>
                <w:bCs/>
                <w:sz w:val="22"/>
                <w:szCs w:val="22"/>
                <w:lang w:eastAsia="en-GB"/>
              </w:rPr>
            </w:pPr>
          </w:p>
        </w:tc>
      </w:tr>
      <w:tr w:rsidR="00B2438C" w:rsidRPr="00501C8E" w:rsidTr="00E15FCF">
        <w:trPr>
          <w:trHeight w:val="255"/>
        </w:trPr>
        <w:tc>
          <w:tcPr>
            <w:tcW w:w="7502" w:type="dxa"/>
            <w:shd w:val="clear" w:color="auto" w:fill="auto"/>
            <w:noWrap/>
            <w:vAlign w:val="center"/>
          </w:tcPr>
          <w:p w:rsidR="00B2438C" w:rsidRPr="00501C8E" w:rsidRDefault="00160D80" w:rsidP="00160D80">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Home Improvement Agency – increased net costs following the withdrawal of SCC Supporting People grants</w:t>
            </w:r>
          </w:p>
        </w:tc>
        <w:tc>
          <w:tcPr>
            <w:tcW w:w="1228" w:type="dxa"/>
            <w:tcBorders>
              <w:bottom w:val="dotted" w:sz="4" w:space="0" w:color="auto"/>
            </w:tcBorders>
            <w:shd w:val="clear" w:color="auto" w:fill="auto"/>
            <w:noWrap/>
            <w:vAlign w:val="bottom"/>
          </w:tcPr>
          <w:p w:rsidR="00B2438C" w:rsidRPr="00501C8E" w:rsidRDefault="00160D80" w:rsidP="0047566F">
            <w:pPr>
              <w:tabs>
                <w:tab w:val="left" w:pos="720"/>
              </w:tabs>
              <w:ind w:left="720" w:hanging="720"/>
              <w:jc w:val="right"/>
              <w:rPr>
                <w:rFonts w:ascii="Arial" w:hAnsi="Arial" w:cs="Arial"/>
                <w:bCs/>
                <w:sz w:val="22"/>
                <w:szCs w:val="22"/>
                <w:lang w:eastAsia="en-GB"/>
              </w:rPr>
            </w:pPr>
            <w:r w:rsidRPr="00501C8E">
              <w:rPr>
                <w:rFonts w:ascii="Arial" w:hAnsi="Arial" w:cs="Arial"/>
                <w:bCs/>
                <w:sz w:val="22"/>
                <w:szCs w:val="22"/>
                <w:lang w:eastAsia="en-GB"/>
              </w:rPr>
              <w:t>34</w:t>
            </w:r>
          </w:p>
        </w:tc>
      </w:tr>
      <w:tr w:rsidR="00160D80" w:rsidRPr="00501C8E" w:rsidTr="00E15FCF">
        <w:trPr>
          <w:trHeight w:val="255"/>
        </w:trPr>
        <w:tc>
          <w:tcPr>
            <w:tcW w:w="7502" w:type="dxa"/>
            <w:shd w:val="clear" w:color="auto" w:fill="auto"/>
            <w:noWrap/>
            <w:vAlign w:val="center"/>
          </w:tcPr>
          <w:p w:rsidR="00160D80" w:rsidRPr="00501C8E" w:rsidRDefault="00160D80" w:rsidP="00006B17">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Homelessness - P/U - Magna Carta lettings deferred until 1st April</w:t>
            </w:r>
          </w:p>
        </w:tc>
        <w:tc>
          <w:tcPr>
            <w:tcW w:w="1228" w:type="dxa"/>
            <w:tcBorders>
              <w:bottom w:val="dotted" w:sz="4" w:space="0" w:color="auto"/>
            </w:tcBorders>
            <w:shd w:val="clear" w:color="auto" w:fill="auto"/>
            <w:noWrap/>
            <w:vAlign w:val="bottom"/>
          </w:tcPr>
          <w:p w:rsidR="00160D80" w:rsidRPr="00501C8E" w:rsidRDefault="00160D80" w:rsidP="0047566F">
            <w:pPr>
              <w:tabs>
                <w:tab w:val="left" w:pos="720"/>
              </w:tabs>
              <w:ind w:left="720" w:hanging="720"/>
              <w:jc w:val="right"/>
              <w:rPr>
                <w:rFonts w:ascii="Arial" w:hAnsi="Arial" w:cs="Arial"/>
                <w:bCs/>
                <w:sz w:val="22"/>
                <w:szCs w:val="22"/>
                <w:lang w:eastAsia="en-GB"/>
              </w:rPr>
            </w:pPr>
            <w:r w:rsidRPr="00501C8E">
              <w:rPr>
                <w:rFonts w:ascii="Arial" w:hAnsi="Arial" w:cs="Arial"/>
                <w:bCs/>
                <w:sz w:val="22"/>
                <w:szCs w:val="22"/>
                <w:lang w:eastAsia="en-GB"/>
              </w:rPr>
              <w:t>16</w:t>
            </w:r>
          </w:p>
        </w:tc>
      </w:tr>
      <w:tr w:rsidR="00B2438C" w:rsidRPr="00501C8E" w:rsidTr="00E15FCF">
        <w:trPr>
          <w:trHeight w:val="255"/>
        </w:trPr>
        <w:tc>
          <w:tcPr>
            <w:tcW w:w="7502" w:type="dxa"/>
            <w:shd w:val="clear" w:color="auto" w:fill="auto"/>
            <w:noWrap/>
            <w:vAlign w:val="center"/>
          </w:tcPr>
          <w:p w:rsidR="00B2438C" w:rsidRPr="00501C8E" w:rsidRDefault="00A73350" w:rsidP="00073D3E">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Housing Options – additional post (Hsg Cttee – June 2016)</w:t>
            </w:r>
          </w:p>
        </w:tc>
        <w:tc>
          <w:tcPr>
            <w:tcW w:w="1228" w:type="dxa"/>
            <w:tcBorders>
              <w:bottom w:val="dotted" w:sz="4" w:space="0" w:color="auto"/>
            </w:tcBorders>
            <w:shd w:val="clear" w:color="auto" w:fill="auto"/>
            <w:noWrap/>
            <w:vAlign w:val="bottom"/>
          </w:tcPr>
          <w:p w:rsidR="00B2438C" w:rsidRPr="00501C8E" w:rsidRDefault="00A73350" w:rsidP="0047566F">
            <w:pPr>
              <w:tabs>
                <w:tab w:val="left" w:pos="720"/>
              </w:tabs>
              <w:ind w:left="720" w:hanging="720"/>
              <w:jc w:val="right"/>
              <w:rPr>
                <w:rFonts w:ascii="Arial" w:hAnsi="Arial" w:cs="Arial"/>
                <w:bCs/>
                <w:sz w:val="22"/>
                <w:szCs w:val="22"/>
                <w:lang w:eastAsia="en-GB"/>
              </w:rPr>
            </w:pPr>
            <w:r w:rsidRPr="00501C8E">
              <w:rPr>
                <w:rFonts w:ascii="Arial" w:hAnsi="Arial" w:cs="Arial"/>
                <w:bCs/>
                <w:sz w:val="22"/>
                <w:szCs w:val="22"/>
                <w:lang w:eastAsia="en-GB"/>
              </w:rPr>
              <w:t>28</w:t>
            </w:r>
          </w:p>
        </w:tc>
      </w:tr>
      <w:tr w:rsidR="00EB18B0" w:rsidRPr="00501C8E" w:rsidTr="00E15FCF">
        <w:trPr>
          <w:trHeight w:val="255"/>
        </w:trPr>
        <w:tc>
          <w:tcPr>
            <w:tcW w:w="7502" w:type="dxa"/>
            <w:shd w:val="clear" w:color="auto" w:fill="auto"/>
            <w:noWrap/>
            <w:vAlign w:val="center"/>
          </w:tcPr>
          <w:p w:rsidR="00EB18B0" w:rsidRPr="00501C8E" w:rsidRDefault="00EB18B0" w:rsidP="00AB46AE">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 xml:space="preserve">Housing Register – upgrades to the Locata housing system following changes to the Allocations Policy in June. </w:t>
            </w:r>
            <w:r w:rsidR="00AB46AE" w:rsidRPr="00501C8E">
              <w:rPr>
                <w:rStyle w:val="endsenrhsennumparatext"/>
                <w:rFonts w:ascii="Arial" w:hAnsi="Arial" w:cs="Arial"/>
                <w:sz w:val="22"/>
                <w:szCs w:val="22"/>
                <w:lang w:val="en"/>
              </w:rPr>
              <w:t xml:space="preserve">A report was presented to </w:t>
            </w:r>
            <w:r w:rsidRPr="00501C8E">
              <w:rPr>
                <w:rStyle w:val="endsenrhsennumparatext"/>
                <w:rFonts w:ascii="Arial" w:hAnsi="Arial" w:cs="Arial"/>
                <w:sz w:val="22"/>
                <w:szCs w:val="22"/>
                <w:lang w:val="en"/>
              </w:rPr>
              <w:t>the September Housing Committee</w:t>
            </w:r>
            <w:r w:rsidR="00AB46AE" w:rsidRPr="00501C8E">
              <w:rPr>
                <w:rStyle w:val="endsenrhsennumparatext"/>
                <w:rFonts w:ascii="Arial" w:hAnsi="Arial" w:cs="Arial"/>
                <w:sz w:val="22"/>
                <w:szCs w:val="22"/>
                <w:lang w:val="en"/>
              </w:rPr>
              <w:t>, and subsequently approved at CMC</w:t>
            </w:r>
            <w:r w:rsidRPr="00501C8E">
              <w:rPr>
                <w:rStyle w:val="endsenrhsennumparatext"/>
                <w:rFonts w:ascii="Arial" w:hAnsi="Arial" w:cs="Arial"/>
                <w:sz w:val="22"/>
                <w:szCs w:val="22"/>
                <w:lang w:val="en"/>
              </w:rPr>
              <w:t>.</w:t>
            </w:r>
          </w:p>
        </w:tc>
        <w:tc>
          <w:tcPr>
            <w:tcW w:w="1228" w:type="dxa"/>
            <w:tcBorders>
              <w:bottom w:val="dotted" w:sz="4" w:space="0" w:color="auto"/>
            </w:tcBorders>
            <w:shd w:val="clear" w:color="auto" w:fill="auto"/>
            <w:noWrap/>
            <w:vAlign w:val="bottom"/>
          </w:tcPr>
          <w:p w:rsidR="00EB18B0" w:rsidRPr="00501C8E" w:rsidRDefault="00AB46AE" w:rsidP="0047566F">
            <w:pPr>
              <w:tabs>
                <w:tab w:val="left" w:pos="720"/>
              </w:tabs>
              <w:ind w:left="720" w:hanging="720"/>
              <w:jc w:val="right"/>
              <w:rPr>
                <w:rFonts w:ascii="Arial" w:hAnsi="Arial" w:cs="Arial"/>
                <w:bCs/>
                <w:sz w:val="22"/>
                <w:szCs w:val="22"/>
                <w:lang w:eastAsia="en-GB"/>
              </w:rPr>
            </w:pPr>
            <w:r w:rsidRPr="00501C8E">
              <w:rPr>
                <w:rFonts w:ascii="Arial" w:hAnsi="Arial" w:cs="Arial"/>
                <w:bCs/>
                <w:sz w:val="22"/>
                <w:szCs w:val="22"/>
                <w:lang w:eastAsia="en-GB"/>
              </w:rPr>
              <w:t>25</w:t>
            </w:r>
          </w:p>
          <w:p w:rsidR="00EB18B0" w:rsidRPr="00501C8E" w:rsidRDefault="00EB18B0" w:rsidP="0047566F">
            <w:pPr>
              <w:tabs>
                <w:tab w:val="left" w:pos="720"/>
              </w:tabs>
              <w:ind w:left="720" w:hanging="720"/>
              <w:jc w:val="right"/>
              <w:rPr>
                <w:rFonts w:ascii="Arial" w:hAnsi="Arial" w:cs="Arial"/>
                <w:bCs/>
                <w:sz w:val="22"/>
                <w:szCs w:val="22"/>
                <w:lang w:eastAsia="en-GB"/>
              </w:rPr>
            </w:pPr>
          </w:p>
        </w:tc>
      </w:tr>
      <w:tr w:rsidR="00B73B8C" w:rsidRPr="00501C8E" w:rsidTr="00E15FCF">
        <w:trPr>
          <w:trHeight w:val="255"/>
        </w:trPr>
        <w:tc>
          <w:tcPr>
            <w:tcW w:w="7502" w:type="dxa"/>
            <w:shd w:val="clear" w:color="auto" w:fill="auto"/>
            <w:noWrap/>
            <w:vAlign w:val="center"/>
          </w:tcPr>
          <w:p w:rsidR="00B73B8C" w:rsidRPr="00501C8E" w:rsidRDefault="00B73B8C" w:rsidP="00073D3E">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Enabling – Needs survey delayed due to local plan slippage</w:t>
            </w:r>
          </w:p>
        </w:tc>
        <w:tc>
          <w:tcPr>
            <w:tcW w:w="1228" w:type="dxa"/>
            <w:tcBorders>
              <w:bottom w:val="dotted" w:sz="4" w:space="0" w:color="auto"/>
            </w:tcBorders>
            <w:shd w:val="clear" w:color="auto" w:fill="auto"/>
            <w:noWrap/>
            <w:vAlign w:val="bottom"/>
          </w:tcPr>
          <w:p w:rsidR="00B73B8C" w:rsidRPr="00501C8E" w:rsidRDefault="00B73B8C" w:rsidP="0047566F">
            <w:pPr>
              <w:tabs>
                <w:tab w:val="left" w:pos="720"/>
              </w:tabs>
              <w:ind w:left="720" w:hanging="720"/>
              <w:jc w:val="right"/>
              <w:rPr>
                <w:rFonts w:ascii="Arial" w:hAnsi="Arial" w:cs="Arial"/>
                <w:bCs/>
                <w:sz w:val="22"/>
                <w:szCs w:val="22"/>
                <w:lang w:eastAsia="en-GB"/>
              </w:rPr>
            </w:pPr>
            <w:r w:rsidRPr="00501C8E">
              <w:rPr>
                <w:rFonts w:ascii="Arial" w:hAnsi="Arial" w:cs="Arial"/>
                <w:bCs/>
                <w:sz w:val="22"/>
                <w:szCs w:val="22"/>
                <w:lang w:eastAsia="en-GB"/>
              </w:rPr>
              <w:t>(35)</w:t>
            </w:r>
          </w:p>
        </w:tc>
      </w:tr>
      <w:tr w:rsidR="00B73B8C" w:rsidRPr="00501C8E" w:rsidTr="00E15FCF">
        <w:trPr>
          <w:trHeight w:val="255"/>
        </w:trPr>
        <w:tc>
          <w:tcPr>
            <w:tcW w:w="7502" w:type="dxa"/>
            <w:shd w:val="clear" w:color="auto" w:fill="auto"/>
            <w:noWrap/>
            <w:vAlign w:val="center"/>
          </w:tcPr>
          <w:p w:rsidR="00B73B8C" w:rsidRPr="00501C8E" w:rsidRDefault="00B73B8C" w:rsidP="00073D3E">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Enabling – Private sector stock condition survey</w:t>
            </w:r>
          </w:p>
        </w:tc>
        <w:tc>
          <w:tcPr>
            <w:tcW w:w="1228" w:type="dxa"/>
            <w:tcBorders>
              <w:bottom w:val="dotted" w:sz="4" w:space="0" w:color="auto"/>
            </w:tcBorders>
            <w:shd w:val="clear" w:color="auto" w:fill="auto"/>
            <w:noWrap/>
            <w:vAlign w:val="bottom"/>
          </w:tcPr>
          <w:p w:rsidR="00B73B8C" w:rsidRPr="00501C8E" w:rsidRDefault="00B73B8C" w:rsidP="0047566F">
            <w:pPr>
              <w:tabs>
                <w:tab w:val="left" w:pos="720"/>
              </w:tabs>
              <w:ind w:left="720" w:hanging="720"/>
              <w:jc w:val="right"/>
              <w:rPr>
                <w:rFonts w:ascii="Arial" w:hAnsi="Arial" w:cs="Arial"/>
                <w:bCs/>
                <w:sz w:val="22"/>
                <w:szCs w:val="22"/>
                <w:lang w:eastAsia="en-GB"/>
              </w:rPr>
            </w:pPr>
            <w:r w:rsidRPr="00501C8E">
              <w:rPr>
                <w:rFonts w:ascii="Arial" w:hAnsi="Arial" w:cs="Arial"/>
                <w:bCs/>
                <w:sz w:val="22"/>
                <w:szCs w:val="22"/>
                <w:lang w:eastAsia="en-GB"/>
              </w:rPr>
              <w:t>(40)</w:t>
            </w:r>
          </w:p>
        </w:tc>
      </w:tr>
      <w:tr w:rsidR="00B73B8C" w:rsidRPr="00501C8E" w:rsidTr="00E15FCF">
        <w:trPr>
          <w:trHeight w:val="255"/>
        </w:trPr>
        <w:tc>
          <w:tcPr>
            <w:tcW w:w="7502" w:type="dxa"/>
            <w:shd w:val="clear" w:color="auto" w:fill="auto"/>
            <w:noWrap/>
            <w:vAlign w:val="center"/>
          </w:tcPr>
          <w:p w:rsidR="00B73B8C" w:rsidRPr="00501C8E" w:rsidRDefault="00B73B8C" w:rsidP="00073D3E">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Benefits – Ongoing cut in admin subsidy from central government</w:t>
            </w:r>
          </w:p>
        </w:tc>
        <w:tc>
          <w:tcPr>
            <w:tcW w:w="1228" w:type="dxa"/>
            <w:tcBorders>
              <w:bottom w:val="dotted" w:sz="4" w:space="0" w:color="auto"/>
            </w:tcBorders>
            <w:shd w:val="clear" w:color="auto" w:fill="auto"/>
            <w:noWrap/>
            <w:vAlign w:val="bottom"/>
          </w:tcPr>
          <w:p w:rsidR="00B73B8C" w:rsidRPr="00501C8E" w:rsidRDefault="00B73B8C" w:rsidP="0047566F">
            <w:pPr>
              <w:tabs>
                <w:tab w:val="left" w:pos="720"/>
              </w:tabs>
              <w:ind w:left="720" w:hanging="720"/>
              <w:jc w:val="right"/>
              <w:rPr>
                <w:rFonts w:ascii="Arial" w:hAnsi="Arial" w:cs="Arial"/>
                <w:bCs/>
                <w:sz w:val="22"/>
                <w:szCs w:val="22"/>
                <w:lang w:eastAsia="en-GB"/>
              </w:rPr>
            </w:pPr>
            <w:r w:rsidRPr="00501C8E">
              <w:rPr>
                <w:rFonts w:ascii="Arial" w:hAnsi="Arial" w:cs="Arial"/>
                <w:bCs/>
                <w:sz w:val="22"/>
                <w:szCs w:val="22"/>
                <w:lang w:eastAsia="en-GB"/>
              </w:rPr>
              <w:t>9</w:t>
            </w:r>
          </w:p>
        </w:tc>
      </w:tr>
      <w:tr w:rsidR="00B2438C" w:rsidRPr="00501C8E" w:rsidTr="00E15FCF">
        <w:trPr>
          <w:trHeight w:val="255"/>
        </w:trPr>
        <w:tc>
          <w:tcPr>
            <w:tcW w:w="7502" w:type="dxa"/>
            <w:shd w:val="clear" w:color="auto" w:fill="auto"/>
            <w:noWrap/>
            <w:vAlign w:val="center"/>
          </w:tcPr>
          <w:p w:rsidR="00B2438C" w:rsidRPr="00501C8E" w:rsidRDefault="00B2438C" w:rsidP="007A438E">
            <w:pPr>
              <w:ind w:left="165"/>
              <w:rPr>
                <w:rStyle w:val="endsenrhsennumparatext"/>
                <w:rFonts w:ascii="Arial" w:hAnsi="Arial" w:cs="Arial"/>
                <w:sz w:val="22"/>
                <w:szCs w:val="22"/>
                <w:lang w:val="en"/>
              </w:rPr>
            </w:pPr>
          </w:p>
        </w:tc>
        <w:tc>
          <w:tcPr>
            <w:tcW w:w="1228" w:type="dxa"/>
            <w:tcBorders>
              <w:bottom w:val="dotted" w:sz="4" w:space="0" w:color="auto"/>
            </w:tcBorders>
            <w:shd w:val="clear" w:color="auto" w:fill="auto"/>
            <w:noWrap/>
            <w:vAlign w:val="bottom"/>
          </w:tcPr>
          <w:p w:rsidR="00B2438C" w:rsidRPr="00501C8E" w:rsidRDefault="00B2438C" w:rsidP="0047566F">
            <w:pPr>
              <w:tabs>
                <w:tab w:val="left" w:pos="720"/>
              </w:tabs>
              <w:ind w:left="720" w:hanging="720"/>
              <w:jc w:val="right"/>
              <w:rPr>
                <w:rFonts w:ascii="Arial" w:hAnsi="Arial" w:cs="Arial"/>
                <w:bCs/>
                <w:sz w:val="22"/>
                <w:szCs w:val="22"/>
                <w:lang w:eastAsia="en-GB"/>
              </w:rPr>
            </w:pPr>
          </w:p>
        </w:tc>
      </w:tr>
      <w:tr w:rsidR="00B2438C" w:rsidRPr="00501C8E" w:rsidTr="00E15FCF">
        <w:trPr>
          <w:trHeight w:val="255"/>
        </w:trPr>
        <w:tc>
          <w:tcPr>
            <w:tcW w:w="7502" w:type="dxa"/>
            <w:shd w:val="clear" w:color="auto" w:fill="auto"/>
            <w:noWrap/>
            <w:vAlign w:val="bottom"/>
          </w:tcPr>
          <w:p w:rsidR="00B2438C" w:rsidRPr="00501C8E" w:rsidRDefault="00B2438C" w:rsidP="007A438E">
            <w:pPr>
              <w:tabs>
                <w:tab w:val="left" w:pos="522"/>
              </w:tabs>
              <w:ind w:left="162"/>
              <w:rPr>
                <w:rStyle w:val="endsenrhsennumparatext"/>
                <w:rFonts w:ascii="Arial" w:hAnsi="Arial" w:cs="Arial"/>
                <w:b/>
                <w:sz w:val="22"/>
                <w:szCs w:val="22"/>
                <w:lang w:val="en"/>
              </w:rPr>
            </w:pPr>
            <w:r w:rsidRPr="00501C8E">
              <w:rPr>
                <w:rStyle w:val="endsenrhsennumparatext"/>
                <w:rFonts w:ascii="Arial" w:hAnsi="Arial" w:cs="Arial"/>
                <w:b/>
                <w:sz w:val="22"/>
                <w:szCs w:val="22"/>
                <w:lang w:val="en"/>
              </w:rPr>
              <w:t>Community Services Committee</w:t>
            </w:r>
          </w:p>
        </w:tc>
        <w:tc>
          <w:tcPr>
            <w:tcW w:w="1228" w:type="dxa"/>
            <w:shd w:val="clear" w:color="auto" w:fill="auto"/>
            <w:noWrap/>
            <w:vAlign w:val="bottom"/>
          </w:tcPr>
          <w:p w:rsidR="00B2438C" w:rsidRPr="00501C8E" w:rsidRDefault="00B2438C" w:rsidP="0047566F">
            <w:pPr>
              <w:tabs>
                <w:tab w:val="left" w:pos="720"/>
              </w:tabs>
              <w:ind w:left="720" w:hanging="720"/>
              <w:jc w:val="right"/>
              <w:rPr>
                <w:rFonts w:ascii="Arial" w:hAnsi="Arial" w:cs="Arial"/>
                <w:sz w:val="22"/>
                <w:szCs w:val="22"/>
                <w:lang w:eastAsia="en-GB"/>
              </w:rPr>
            </w:pPr>
          </w:p>
        </w:tc>
      </w:tr>
      <w:tr w:rsidR="00B2438C" w:rsidRPr="00501C8E" w:rsidTr="00E15FCF">
        <w:trPr>
          <w:trHeight w:val="255"/>
        </w:trPr>
        <w:tc>
          <w:tcPr>
            <w:tcW w:w="7502" w:type="dxa"/>
            <w:shd w:val="clear" w:color="auto" w:fill="auto"/>
            <w:noWrap/>
            <w:vAlign w:val="bottom"/>
          </w:tcPr>
          <w:p w:rsidR="00B2438C" w:rsidRPr="00501C8E" w:rsidRDefault="008F2827" w:rsidP="0056133E">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 xml:space="preserve">Cemeteries – increased </w:t>
            </w:r>
            <w:r w:rsidR="00882BB6" w:rsidRPr="00501C8E">
              <w:rPr>
                <w:rStyle w:val="endsenrhsennumparatext"/>
                <w:rFonts w:ascii="Arial" w:hAnsi="Arial" w:cs="Arial"/>
                <w:sz w:val="22"/>
                <w:szCs w:val="22"/>
                <w:lang w:val="en"/>
              </w:rPr>
              <w:t>income from the purchase of Grave space</w:t>
            </w:r>
          </w:p>
        </w:tc>
        <w:tc>
          <w:tcPr>
            <w:tcW w:w="1228" w:type="dxa"/>
            <w:shd w:val="clear" w:color="auto" w:fill="auto"/>
            <w:noWrap/>
            <w:vAlign w:val="bottom"/>
          </w:tcPr>
          <w:p w:rsidR="00B2438C" w:rsidRPr="00501C8E" w:rsidRDefault="00882BB6" w:rsidP="0047566F">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(30)</w:t>
            </w:r>
          </w:p>
        </w:tc>
      </w:tr>
      <w:tr w:rsidR="00882BB6" w:rsidRPr="00501C8E" w:rsidTr="00E15FCF">
        <w:trPr>
          <w:trHeight w:val="255"/>
        </w:trPr>
        <w:tc>
          <w:tcPr>
            <w:tcW w:w="7502" w:type="dxa"/>
            <w:shd w:val="clear" w:color="auto" w:fill="auto"/>
            <w:noWrap/>
            <w:vAlign w:val="bottom"/>
          </w:tcPr>
          <w:p w:rsidR="00882BB6" w:rsidRPr="00501C8E" w:rsidRDefault="00882BB6" w:rsidP="00882BB6">
            <w:pPr>
              <w:pStyle w:val="ListParagraph"/>
              <w:numPr>
                <w:ilvl w:val="0"/>
                <w:numId w:val="28"/>
              </w:numPr>
              <w:tabs>
                <w:tab w:val="left" w:pos="522"/>
              </w:tabs>
              <w:rPr>
                <w:rStyle w:val="endsenrhsennumparatext"/>
                <w:rFonts w:ascii="Arial" w:hAnsi="Arial" w:cs="Arial"/>
                <w:b/>
                <w:sz w:val="22"/>
                <w:szCs w:val="22"/>
                <w:lang w:val="en"/>
              </w:rPr>
            </w:pPr>
            <w:r w:rsidRPr="00501C8E">
              <w:rPr>
                <w:rStyle w:val="endsenrhsennumparatext"/>
                <w:rFonts w:ascii="Arial" w:hAnsi="Arial" w:cs="Arial"/>
                <w:sz w:val="22"/>
                <w:szCs w:val="22"/>
                <w:lang w:val="en"/>
              </w:rPr>
              <w:t xml:space="preserve"> Cemeteries – increased income from memorial fees</w:t>
            </w:r>
          </w:p>
        </w:tc>
        <w:tc>
          <w:tcPr>
            <w:tcW w:w="1228" w:type="dxa"/>
            <w:shd w:val="clear" w:color="auto" w:fill="auto"/>
            <w:noWrap/>
            <w:vAlign w:val="bottom"/>
          </w:tcPr>
          <w:p w:rsidR="00882BB6" w:rsidRPr="00501C8E" w:rsidRDefault="00882BB6" w:rsidP="0047566F">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(2)</w:t>
            </w:r>
          </w:p>
        </w:tc>
      </w:tr>
      <w:tr w:rsidR="00B2438C" w:rsidRPr="00501C8E" w:rsidTr="00E15FCF">
        <w:trPr>
          <w:trHeight w:val="255"/>
        </w:trPr>
        <w:tc>
          <w:tcPr>
            <w:tcW w:w="7502" w:type="dxa"/>
            <w:shd w:val="clear" w:color="auto" w:fill="auto"/>
            <w:noWrap/>
            <w:vAlign w:val="bottom"/>
          </w:tcPr>
          <w:p w:rsidR="00B2438C" w:rsidRPr="00501C8E" w:rsidRDefault="00882BB6" w:rsidP="00882BB6">
            <w:pPr>
              <w:pStyle w:val="ListParagraph"/>
              <w:numPr>
                <w:ilvl w:val="0"/>
                <w:numId w:val="28"/>
              </w:numPr>
              <w:tabs>
                <w:tab w:val="left" w:pos="522"/>
              </w:tabs>
              <w:rPr>
                <w:rStyle w:val="endsenrhsennumparatext"/>
                <w:rFonts w:ascii="Arial" w:hAnsi="Arial" w:cs="Arial"/>
                <w:sz w:val="22"/>
                <w:szCs w:val="22"/>
                <w:lang w:val="en"/>
              </w:rPr>
            </w:pPr>
            <w:r w:rsidRPr="00501C8E">
              <w:rPr>
                <w:rStyle w:val="endsenrhsennumparatext"/>
                <w:rFonts w:ascii="Arial" w:hAnsi="Arial" w:cs="Arial"/>
                <w:b/>
                <w:sz w:val="22"/>
                <w:szCs w:val="22"/>
                <w:lang w:val="en"/>
              </w:rPr>
              <w:lastRenderedPageBreak/>
              <w:t xml:space="preserve"> </w:t>
            </w:r>
            <w:r w:rsidRPr="00501C8E">
              <w:rPr>
                <w:rStyle w:val="endsenrhsennumparatext"/>
                <w:rFonts w:ascii="Arial" w:hAnsi="Arial" w:cs="Arial"/>
                <w:sz w:val="22"/>
                <w:szCs w:val="22"/>
                <w:lang w:val="en"/>
              </w:rPr>
              <w:t>Halls – Lower income from lettings and hire of facilities</w:t>
            </w:r>
          </w:p>
        </w:tc>
        <w:tc>
          <w:tcPr>
            <w:tcW w:w="1228" w:type="dxa"/>
            <w:shd w:val="clear" w:color="auto" w:fill="auto"/>
            <w:noWrap/>
            <w:vAlign w:val="bottom"/>
          </w:tcPr>
          <w:p w:rsidR="00B2438C" w:rsidRPr="00501C8E" w:rsidRDefault="00B73B8C" w:rsidP="0047566F">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30</w:t>
            </w:r>
          </w:p>
        </w:tc>
      </w:tr>
      <w:tr w:rsidR="00882BB6" w:rsidRPr="00501C8E" w:rsidTr="00E15FCF">
        <w:trPr>
          <w:trHeight w:val="255"/>
        </w:trPr>
        <w:tc>
          <w:tcPr>
            <w:tcW w:w="7502" w:type="dxa"/>
            <w:shd w:val="clear" w:color="auto" w:fill="auto"/>
            <w:noWrap/>
            <w:vAlign w:val="bottom"/>
          </w:tcPr>
          <w:p w:rsidR="00882BB6" w:rsidRPr="00501C8E" w:rsidRDefault="00882BB6" w:rsidP="00A57974">
            <w:pPr>
              <w:pStyle w:val="ListParagraph"/>
              <w:numPr>
                <w:ilvl w:val="0"/>
                <w:numId w:val="28"/>
              </w:numPr>
              <w:tabs>
                <w:tab w:val="left" w:pos="522"/>
              </w:tabs>
              <w:rPr>
                <w:rStyle w:val="endsenrhsennumparatext"/>
                <w:rFonts w:ascii="Arial" w:hAnsi="Arial" w:cs="Arial"/>
                <w:sz w:val="22"/>
                <w:szCs w:val="22"/>
                <w:lang w:val="en"/>
              </w:rPr>
            </w:pPr>
            <w:r w:rsidRPr="00501C8E">
              <w:rPr>
                <w:rStyle w:val="endsenrhsennumparatext"/>
                <w:rFonts w:ascii="Arial" w:hAnsi="Arial" w:cs="Arial"/>
                <w:b/>
                <w:sz w:val="22"/>
                <w:szCs w:val="22"/>
                <w:lang w:val="en"/>
              </w:rPr>
              <w:t xml:space="preserve"> </w:t>
            </w:r>
            <w:r w:rsidRPr="00501C8E">
              <w:rPr>
                <w:rStyle w:val="endsenrhsennumparatext"/>
                <w:rFonts w:ascii="Arial" w:hAnsi="Arial" w:cs="Arial"/>
                <w:sz w:val="22"/>
                <w:szCs w:val="22"/>
                <w:lang w:val="en"/>
              </w:rPr>
              <w:t>Parks and open spaces – additional staffing costs ( includes ARB officer )</w:t>
            </w:r>
          </w:p>
        </w:tc>
        <w:tc>
          <w:tcPr>
            <w:tcW w:w="1228" w:type="dxa"/>
            <w:shd w:val="clear" w:color="auto" w:fill="auto"/>
            <w:noWrap/>
            <w:vAlign w:val="bottom"/>
          </w:tcPr>
          <w:p w:rsidR="00882BB6" w:rsidRPr="00501C8E" w:rsidRDefault="00882BB6" w:rsidP="0047566F">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15</w:t>
            </w:r>
          </w:p>
        </w:tc>
      </w:tr>
      <w:tr w:rsidR="00882BB6" w:rsidRPr="00501C8E" w:rsidTr="00E15FCF">
        <w:trPr>
          <w:trHeight w:val="255"/>
        </w:trPr>
        <w:tc>
          <w:tcPr>
            <w:tcW w:w="7502" w:type="dxa"/>
            <w:shd w:val="clear" w:color="auto" w:fill="auto"/>
            <w:noWrap/>
            <w:vAlign w:val="bottom"/>
          </w:tcPr>
          <w:p w:rsidR="00882BB6" w:rsidRPr="00501C8E" w:rsidRDefault="00882BB6" w:rsidP="00882BB6">
            <w:pPr>
              <w:pStyle w:val="ListParagraph"/>
              <w:numPr>
                <w:ilvl w:val="0"/>
                <w:numId w:val="28"/>
              </w:numPr>
              <w:tabs>
                <w:tab w:val="left" w:pos="522"/>
              </w:tabs>
              <w:rPr>
                <w:rStyle w:val="endsenrhsennumparatext"/>
                <w:rFonts w:ascii="Arial" w:hAnsi="Arial" w:cs="Arial"/>
                <w:sz w:val="22"/>
                <w:szCs w:val="22"/>
                <w:lang w:val="en"/>
              </w:rPr>
            </w:pPr>
            <w:r w:rsidRPr="00501C8E">
              <w:rPr>
                <w:rStyle w:val="endsenrhsennumparatext"/>
                <w:rFonts w:ascii="Arial" w:hAnsi="Arial" w:cs="Arial"/>
                <w:sz w:val="22"/>
                <w:szCs w:val="22"/>
                <w:lang w:val="en"/>
              </w:rPr>
              <w:t>Parks – income down from games fees and charges</w:t>
            </w:r>
          </w:p>
        </w:tc>
        <w:tc>
          <w:tcPr>
            <w:tcW w:w="1228" w:type="dxa"/>
            <w:shd w:val="clear" w:color="auto" w:fill="auto"/>
            <w:noWrap/>
            <w:vAlign w:val="bottom"/>
          </w:tcPr>
          <w:p w:rsidR="00882BB6" w:rsidRPr="00501C8E" w:rsidRDefault="00882BB6" w:rsidP="0047566F">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5</w:t>
            </w:r>
          </w:p>
        </w:tc>
      </w:tr>
      <w:tr w:rsidR="00C26A47" w:rsidRPr="00501C8E" w:rsidTr="00E15FCF">
        <w:trPr>
          <w:trHeight w:val="255"/>
        </w:trPr>
        <w:tc>
          <w:tcPr>
            <w:tcW w:w="7502" w:type="dxa"/>
            <w:shd w:val="clear" w:color="auto" w:fill="auto"/>
            <w:noWrap/>
            <w:vAlign w:val="bottom"/>
          </w:tcPr>
          <w:p w:rsidR="00C26A47" w:rsidRPr="00501C8E" w:rsidRDefault="00C26A47" w:rsidP="00C26A47">
            <w:pPr>
              <w:pStyle w:val="ListParagraph"/>
              <w:numPr>
                <w:ilvl w:val="0"/>
                <w:numId w:val="28"/>
              </w:numPr>
              <w:tabs>
                <w:tab w:val="left" w:pos="522"/>
              </w:tabs>
              <w:rPr>
                <w:rStyle w:val="endsenrhsennumparatext"/>
                <w:rFonts w:ascii="Arial" w:hAnsi="Arial" w:cs="Arial"/>
                <w:sz w:val="22"/>
                <w:szCs w:val="22"/>
                <w:lang w:val="en"/>
              </w:rPr>
            </w:pPr>
            <w:r w:rsidRPr="00501C8E">
              <w:rPr>
                <w:rStyle w:val="endsenrhsennumparatext"/>
                <w:rFonts w:ascii="Arial" w:hAnsi="Arial" w:cs="Arial"/>
                <w:sz w:val="22"/>
                <w:szCs w:val="22"/>
                <w:lang w:val="en"/>
              </w:rPr>
              <w:t xml:space="preserve">Safer Runnymede – additional income from Addlestone one and GPS and carecall </w:t>
            </w:r>
            <w:r w:rsidR="00B73B8C" w:rsidRPr="00501C8E">
              <w:rPr>
                <w:rStyle w:val="endsenrhsennumparatext"/>
                <w:rFonts w:ascii="Arial" w:hAnsi="Arial" w:cs="Arial"/>
                <w:sz w:val="22"/>
                <w:szCs w:val="22"/>
                <w:lang w:val="en"/>
              </w:rPr>
              <w:t>(net of costs)</w:t>
            </w:r>
          </w:p>
        </w:tc>
        <w:tc>
          <w:tcPr>
            <w:tcW w:w="1228" w:type="dxa"/>
            <w:shd w:val="clear" w:color="auto" w:fill="auto"/>
            <w:noWrap/>
            <w:vAlign w:val="bottom"/>
          </w:tcPr>
          <w:p w:rsidR="00C26A47" w:rsidRPr="00501C8E" w:rsidRDefault="00C26A47" w:rsidP="00BD1188">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w:t>
            </w:r>
            <w:r w:rsidR="00BD1188" w:rsidRPr="00501C8E">
              <w:rPr>
                <w:rFonts w:ascii="Arial" w:hAnsi="Arial" w:cs="Arial"/>
                <w:sz w:val="22"/>
                <w:szCs w:val="22"/>
                <w:lang w:eastAsia="en-GB"/>
              </w:rPr>
              <w:t>7</w:t>
            </w:r>
            <w:r w:rsidRPr="00501C8E">
              <w:rPr>
                <w:rFonts w:ascii="Arial" w:hAnsi="Arial" w:cs="Arial"/>
                <w:sz w:val="22"/>
                <w:szCs w:val="22"/>
                <w:lang w:eastAsia="en-GB"/>
              </w:rPr>
              <w:t>)</w:t>
            </w:r>
          </w:p>
        </w:tc>
      </w:tr>
      <w:tr w:rsidR="00C00D2D" w:rsidRPr="00501C8E" w:rsidTr="00E15FCF">
        <w:trPr>
          <w:trHeight w:val="255"/>
        </w:trPr>
        <w:tc>
          <w:tcPr>
            <w:tcW w:w="7502" w:type="dxa"/>
            <w:shd w:val="clear" w:color="auto" w:fill="auto"/>
            <w:noWrap/>
            <w:vAlign w:val="bottom"/>
          </w:tcPr>
          <w:p w:rsidR="00C00D2D" w:rsidRPr="00501C8E" w:rsidRDefault="00C00D2D" w:rsidP="007A438E">
            <w:pPr>
              <w:tabs>
                <w:tab w:val="left" w:pos="522"/>
              </w:tabs>
              <w:ind w:left="162"/>
              <w:rPr>
                <w:rStyle w:val="endsenrhsennumparatext"/>
                <w:rFonts w:ascii="Arial" w:hAnsi="Arial" w:cs="Arial"/>
                <w:sz w:val="22"/>
                <w:szCs w:val="22"/>
                <w:lang w:val="en"/>
              </w:rPr>
            </w:pPr>
          </w:p>
        </w:tc>
        <w:tc>
          <w:tcPr>
            <w:tcW w:w="1228" w:type="dxa"/>
            <w:shd w:val="clear" w:color="auto" w:fill="auto"/>
            <w:noWrap/>
            <w:vAlign w:val="bottom"/>
          </w:tcPr>
          <w:p w:rsidR="00C00D2D" w:rsidRPr="00501C8E" w:rsidRDefault="00C00D2D" w:rsidP="0047566F">
            <w:pPr>
              <w:tabs>
                <w:tab w:val="left" w:pos="720"/>
              </w:tabs>
              <w:ind w:left="720" w:hanging="720"/>
              <w:jc w:val="right"/>
              <w:rPr>
                <w:rFonts w:ascii="Arial" w:hAnsi="Arial" w:cs="Arial"/>
                <w:sz w:val="22"/>
                <w:szCs w:val="22"/>
                <w:lang w:eastAsia="en-GB"/>
              </w:rPr>
            </w:pPr>
          </w:p>
        </w:tc>
      </w:tr>
      <w:tr w:rsidR="00B2438C" w:rsidRPr="00501C8E" w:rsidTr="00E15FCF">
        <w:trPr>
          <w:trHeight w:val="255"/>
        </w:trPr>
        <w:tc>
          <w:tcPr>
            <w:tcW w:w="7502" w:type="dxa"/>
            <w:shd w:val="clear" w:color="auto" w:fill="auto"/>
            <w:noWrap/>
            <w:vAlign w:val="bottom"/>
          </w:tcPr>
          <w:p w:rsidR="00B2438C" w:rsidRPr="00501C8E" w:rsidRDefault="00B2438C" w:rsidP="007A438E">
            <w:pPr>
              <w:tabs>
                <w:tab w:val="left" w:pos="522"/>
              </w:tabs>
              <w:ind w:left="162"/>
              <w:rPr>
                <w:rStyle w:val="endsenrhsennumparatext"/>
                <w:rFonts w:ascii="Arial" w:hAnsi="Arial" w:cs="Arial"/>
                <w:b/>
                <w:sz w:val="22"/>
                <w:szCs w:val="22"/>
                <w:lang w:val="en"/>
              </w:rPr>
            </w:pPr>
            <w:r w:rsidRPr="00501C8E">
              <w:rPr>
                <w:rStyle w:val="endsenrhsennumparatext"/>
                <w:rFonts w:ascii="Arial" w:hAnsi="Arial" w:cs="Arial"/>
                <w:b/>
                <w:sz w:val="22"/>
                <w:szCs w:val="22"/>
                <w:lang w:val="en"/>
              </w:rPr>
              <w:t>Environment and Sustainability Committee</w:t>
            </w:r>
          </w:p>
        </w:tc>
        <w:tc>
          <w:tcPr>
            <w:tcW w:w="1228" w:type="dxa"/>
            <w:shd w:val="clear" w:color="auto" w:fill="auto"/>
            <w:noWrap/>
            <w:vAlign w:val="bottom"/>
          </w:tcPr>
          <w:p w:rsidR="00B2438C" w:rsidRPr="00501C8E" w:rsidRDefault="00B2438C" w:rsidP="0047566F">
            <w:pPr>
              <w:tabs>
                <w:tab w:val="left" w:pos="720"/>
              </w:tabs>
              <w:ind w:left="720" w:hanging="720"/>
              <w:jc w:val="right"/>
              <w:rPr>
                <w:rFonts w:ascii="Arial" w:hAnsi="Arial" w:cs="Arial"/>
                <w:sz w:val="22"/>
                <w:szCs w:val="22"/>
                <w:lang w:eastAsia="en-GB"/>
              </w:rPr>
            </w:pPr>
          </w:p>
        </w:tc>
      </w:tr>
      <w:tr w:rsidR="00886534" w:rsidRPr="00501C8E" w:rsidTr="00E15FCF">
        <w:trPr>
          <w:trHeight w:val="255"/>
        </w:trPr>
        <w:tc>
          <w:tcPr>
            <w:tcW w:w="7502" w:type="dxa"/>
            <w:shd w:val="clear" w:color="auto" w:fill="auto"/>
            <w:noWrap/>
            <w:vAlign w:val="bottom"/>
          </w:tcPr>
          <w:p w:rsidR="00886534" w:rsidRPr="00501C8E" w:rsidRDefault="00886534" w:rsidP="008D5FD9">
            <w:pPr>
              <w:numPr>
                <w:ilvl w:val="0"/>
                <w:numId w:val="6"/>
              </w:numPr>
              <w:tabs>
                <w:tab w:val="clear" w:pos="1440"/>
                <w:tab w:val="left" w:pos="522"/>
              </w:tabs>
              <w:ind w:left="522" w:hanging="342"/>
              <w:rPr>
                <w:rFonts w:ascii="Arial" w:hAnsi="Arial" w:cs="Arial"/>
                <w:sz w:val="22"/>
                <w:szCs w:val="22"/>
                <w:lang w:eastAsia="en-GB"/>
              </w:rPr>
            </w:pPr>
            <w:r w:rsidRPr="00501C8E">
              <w:rPr>
                <w:rFonts w:ascii="Arial" w:hAnsi="Arial" w:cs="Arial"/>
                <w:sz w:val="22"/>
                <w:szCs w:val="22"/>
                <w:lang w:eastAsia="en-GB"/>
              </w:rPr>
              <w:t>Contaminated land – consultancy provision not required in current year</w:t>
            </w:r>
          </w:p>
        </w:tc>
        <w:tc>
          <w:tcPr>
            <w:tcW w:w="1228" w:type="dxa"/>
            <w:shd w:val="clear" w:color="auto" w:fill="auto"/>
            <w:noWrap/>
            <w:vAlign w:val="bottom"/>
          </w:tcPr>
          <w:p w:rsidR="00886534" w:rsidRPr="00501C8E" w:rsidRDefault="00886534" w:rsidP="00926908">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 xml:space="preserve">(16)                                                                                                                                                                                                                                                                                                                                                                                                                                                                                                                                                                            </w:t>
            </w:r>
          </w:p>
        </w:tc>
      </w:tr>
      <w:tr w:rsidR="00FA2EAA" w:rsidRPr="00501C8E" w:rsidTr="00E15FCF">
        <w:trPr>
          <w:trHeight w:val="255"/>
        </w:trPr>
        <w:tc>
          <w:tcPr>
            <w:tcW w:w="7502" w:type="dxa"/>
            <w:shd w:val="clear" w:color="auto" w:fill="auto"/>
            <w:noWrap/>
            <w:vAlign w:val="bottom"/>
          </w:tcPr>
          <w:p w:rsidR="00FA2EAA" w:rsidRPr="00501C8E" w:rsidRDefault="00FA2EAA" w:rsidP="008D5FD9">
            <w:pPr>
              <w:numPr>
                <w:ilvl w:val="0"/>
                <w:numId w:val="6"/>
              </w:numPr>
              <w:tabs>
                <w:tab w:val="clear" w:pos="1440"/>
                <w:tab w:val="left" w:pos="522"/>
              </w:tabs>
              <w:ind w:left="522" w:hanging="342"/>
              <w:rPr>
                <w:rFonts w:ascii="Arial" w:hAnsi="Arial" w:cs="Arial"/>
                <w:sz w:val="22"/>
                <w:szCs w:val="22"/>
                <w:lang w:eastAsia="en-GB"/>
              </w:rPr>
            </w:pPr>
            <w:r w:rsidRPr="00501C8E">
              <w:rPr>
                <w:rFonts w:ascii="Arial" w:hAnsi="Arial" w:cs="Arial"/>
                <w:sz w:val="22"/>
                <w:szCs w:val="22"/>
                <w:lang w:eastAsia="en-GB"/>
              </w:rPr>
              <w:t>Dog Control – reduced income offset by reduced costs</w:t>
            </w:r>
            <w:r w:rsidR="007D4D81" w:rsidRPr="00501C8E">
              <w:rPr>
                <w:rFonts w:ascii="Arial" w:hAnsi="Arial" w:cs="Arial"/>
                <w:sz w:val="22"/>
                <w:szCs w:val="22"/>
                <w:lang w:eastAsia="en-GB"/>
              </w:rPr>
              <w:t xml:space="preserve"> </w:t>
            </w:r>
          </w:p>
        </w:tc>
        <w:tc>
          <w:tcPr>
            <w:tcW w:w="1228" w:type="dxa"/>
            <w:shd w:val="clear" w:color="auto" w:fill="auto"/>
            <w:noWrap/>
            <w:vAlign w:val="bottom"/>
          </w:tcPr>
          <w:p w:rsidR="00FA2EAA" w:rsidRPr="00501C8E" w:rsidRDefault="007D4D81" w:rsidP="00332596">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 xml:space="preserve">5 </w:t>
            </w:r>
          </w:p>
        </w:tc>
      </w:tr>
      <w:tr w:rsidR="008477EA" w:rsidRPr="00501C8E" w:rsidTr="00E15FCF">
        <w:trPr>
          <w:trHeight w:val="255"/>
        </w:trPr>
        <w:tc>
          <w:tcPr>
            <w:tcW w:w="7502" w:type="dxa"/>
            <w:shd w:val="clear" w:color="auto" w:fill="auto"/>
            <w:noWrap/>
            <w:vAlign w:val="bottom"/>
          </w:tcPr>
          <w:p w:rsidR="008477EA" w:rsidRPr="00501C8E" w:rsidRDefault="00332596" w:rsidP="005A6DC8">
            <w:pPr>
              <w:numPr>
                <w:ilvl w:val="0"/>
                <w:numId w:val="6"/>
              </w:numPr>
              <w:tabs>
                <w:tab w:val="clear" w:pos="1440"/>
                <w:tab w:val="left" w:pos="522"/>
              </w:tabs>
              <w:ind w:left="522" w:hanging="342"/>
              <w:rPr>
                <w:rFonts w:ascii="Arial" w:hAnsi="Arial" w:cs="Arial"/>
                <w:strike/>
                <w:sz w:val="22"/>
                <w:szCs w:val="22"/>
                <w:lang w:eastAsia="en-GB"/>
              </w:rPr>
            </w:pPr>
            <w:r w:rsidRPr="00501C8E">
              <w:rPr>
                <w:rFonts w:ascii="Arial" w:hAnsi="Arial" w:cs="Arial"/>
                <w:sz w:val="22"/>
                <w:szCs w:val="22"/>
                <w:lang w:eastAsia="en-GB"/>
              </w:rPr>
              <w:t>Recycling/refuse bins</w:t>
            </w:r>
            <w:r w:rsidR="008477EA" w:rsidRPr="00501C8E">
              <w:rPr>
                <w:rFonts w:ascii="Arial" w:hAnsi="Arial" w:cs="Arial"/>
                <w:sz w:val="22"/>
                <w:szCs w:val="22"/>
                <w:lang w:eastAsia="en-GB"/>
              </w:rPr>
              <w:t xml:space="preserve"> </w:t>
            </w:r>
            <w:r w:rsidR="005A6DC8" w:rsidRPr="00501C8E">
              <w:rPr>
                <w:rFonts w:ascii="Arial" w:hAnsi="Arial" w:cs="Arial"/>
                <w:sz w:val="22"/>
                <w:szCs w:val="22"/>
                <w:lang w:eastAsia="en-GB"/>
              </w:rPr>
              <w:t>additional provision required</w:t>
            </w:r>
          </w:p>
        </w:tc>
        <w:tc>
          <w:tcPr>
            <w:tcW w:w="1228" w:type="dxa"/>
            <w:shd w:val="clear" w:color="auto" w:fill="auto"/>
            <w:noWrap/>
            <w:vAlign w:val="bottom"/>
          </w:tcPr>
          <w:p w:rsidR="008477EA" w:rsidRPr="00501C8E" w:rsidRDefault="00332596" w:rsidP="008D5FD9">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18</w:t>
            </w:r>
          </w:p>
        </w:tc>
      </w:tr>
      <w:tr w:rsidR="00B92F76" w:rsidRPr="00501C8E" w:rsidTr="00E15FCF">
        <w:trPr>
          <w:trHeight w:val="255"/>
        </w:trPr>
        <w:tc>
          <w:tcPr>
            <w:tcW w:w="7502" w:type="dxa"/>
            <w:shd w:val="clear" w:color="auto" w:fill="auto"/>
            <w:noWrap/>
            <w:vAlign w:val="bottom"/>
          </w:tcPr>
          <w:p w:rsidR="00B92F76" w:rsidRPr="00501C8E" w:rsidRDefault="00B92F76" w:rsidP="008477EA">
            <w:pPr>
              <w:numPr>
                <w:ilvl w:val="0"/>
                <w:numId w:val="6"/>
              </w:numPr>
              <w:tabs>
                <w:tab w:val="clear" w:pos="1440"/>
                <w:tab w:val="left" w:pos="522"/>
              </w:tabs>
              <w:ind w:left="522" w:hanging="342"/>
              <w:rPr>
                <w:rFonts w:ascii="Arial" w:hAnsi="Arial" w:cs="Arial"/>
                <w:sz w:val="22"/>
                <w:szCs w:val="22"/>
                <w:lang w:eastAsia="en-GB"/>
              </w:rPr>
            </w:pPr>
            <w:r w:rsidRPr="00501C8E">
              <w:rPr>
                <w:rFonts w:ascii="Arial" w:hAnsi="Arial" w:cs="Arial"/>
                <w:sz w:val="22"/>
                <w:szCs w:val="22"/>
                <w:lang w:eastAsia="en-GB"/>
              </w:rPr>
              <w:t>Recycling – temporary post from November (Supplementary post CMC July 2016)</w:t>
            </w:r>
          </w:p>
        </w:tc>
        <w:tc>
          <w:tcPr>
            <w:tcW w:w="1228" w:type="dxa"/>
            <w:shd w:val="clear" w:color="auto" w:fill="auto"/>
            <w:noWrap/>
            <w:vAlign w:val="bottom"/>
          </w:tcPr>
          <w:p w:rsidR="00B92F76" w:rsidRPr="00501C8E" w:rsidRDefault="00B92F76" w:rsidP="0047566F">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12</w:t>
            </w:r>
          </w:p>
        </w:tc>
      </w:tr>
      <w:tr w:rsidR="00073D3E" w:rsidRPr="00501C8E" w:rsidTr="00E15FCF">
        <w:trPr>
          <w:trHeight w:val="255"/>
        </w:trPr>
        <w:tc>
          <w:tcPr>
            <w:tcW w:w="7502" w:type="dxa"/>
            <w:shd w:val="clear" w:color="auto" w:fill="auto"/>
            <w:noWrap/>
            <w:vAlign w:val="bottom"/>
          </w:tcPr>
          <w:p w:rsidR="00073D3E" w:rsidRPr="00501C8E" w:rsidRDefault="008D5FD9" w:rsidP="008477EA">
            <w:pPr>
              <w:numPr>
                <w:ilvl w:val="0"/>
                <w:numId w:val="6"/>
              </w:numPr>
              <w:tabs>
                <w:tab w:val="clear" w:pos="1440"/>
                <w:tab w:val="left" w:pos="522"/>
              </w:tabs>
              <w:ind w:left="522" w:hanging="342"/>
              <w:rPr>
                <w:rFonts w:ascii="Arial" w:hAnsi="Arial" w:cs="Arial"/>
                <w:sz w:val="22"/>
                <w:szCs w:val="22"/>
                <w:lang w:eastAsia="en-GB"/>
              </w:rPr>
            </w:pPr>
            <w:r w:rsidRPr="00501C8E">
              <w:rPr>
                <w:rFonts w:ascii="Arial" w:hAnsi="Arial" w:cs="Arial"/>
                <w:sz w:val="22"/>
                <w:szCs w:val="22"/>
                <w:lang w:eastAsia="en-GB"/>
              </w:rPr>
              <w:t xml:space="preserve">Recycling – </w:t>
            </w:r>
            <w:r w:rsidR="005A6DC8" w:rsidRPr="00501C8E">
              <w:rPr>
                <w:rFonts w:ascii="Arial" w:hAnsi="Arial" w:cs="Arial"/>
                <w:sz w:val="22"/>
                <w:szCs w:val="22"/>
                <w:lang w:eastAsia="en-GB"/>
              </w:rPr>
              <w:t xml:space="preserve">year end </w:t>
            </w:r>
            <w:r w:rsidRPr="00501C8E">
              <w:rPr>
                <w:rFonts w:ascii="Arial" w:hAnsi="Arial" w:cs="Arial"/>
                <w:sz w:val="22"/>
                <w:szCs w:val="22"/>
                <w:lang w:eastAsia="en-GB"/>
              </w:rPr>
              <w:t>income over</w:t>
            </w:r>
            <w:r w:rsidR="008477EA" w:rsidRPr="00501C8E">
              <w:rPr>
                <w:rFonts w:ascii="Arial" w:hAnsi="Arial" w:cs="Arial"/>
                <w:sz w:val="22"/>
                <w:szCs w:val="22"/>
                <w:lang w:eastAsia="en-GB"/>
              </w:rPr>
              <w:t xml:space="preserve">estimated </w:t>
            </w:r>
            <w:r w:rsidRPr="00501C8E">
              <w:rPr>
                <w:rFonts w:ascii="Arial" w:hAnsi="Arial" w:cs="Arial"/>
                <w:sz w:val="22"/>
                <w:szCs w:val="22"/>
                <w:lang w:eastAsia="en-GB"/>
              </w:rPr>
              <w:t>in 2015/16</w:t>
            </w:r>
          </w:p>
        </w:tc>
        <w:tc>
          <w:tcPr>
            <w:tcW w:w="1228" w:type="dxa"/>
            <w:shd w:val="clear" w:color="auto" w:fill="auto"/>
            <w:noWrap/>
            <w:vAlign w:val="bottom"/>
          </w:tcPr>
          <w:p w:rsidR="00073D3E" w:rsidRPr="00501C8E" w:rsidRDefault="008D5FD9" w:rsidP="0047566F">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10</w:t>
            </w:r>
          </w:p>
        </w:tc>
      </w:tr>
      <w:tr w:rsidR="00B2438C" w:rsidRPr="00501C8E" w:rsidTr="00E15FCF">
        <w:trPr>
          <w:trHeight w:val="255"/>
        </w:trPr>
        <w:tc>
          <w:tcPr>
            <w:tcW w:w="7502" w:type="dxa"/>
            <w:shd w:val="clear" w:color="auto" w:fill="auto"/>
            <w:noWrap/>
            <w:vAlign w:val="bottom"/>
          </w:tcPr>
          <w:p w:rsidR="00B2438C" w:rsidRPr="00501C8E" w:rsidRDefault="008D5FD9" w:rsidP="007A438E">
            <w:pPr>
              <w:numPr>
                <w:ilvl w:val="0"/>
                <w:numId w:val="6"/>
              </w:numPr>
              <w:tabs>
                <w:tab w:val="clear" w:pos="1440"/>
                <w:tab w:val="left" w:pos="522"/>
              </w:tabs>
              <w:ind w:left="522" w:hanging="342"/>
              <w:rPr>
                <w:rFonts w:ascii="Arial" w:hAnsi="Arial" w:cs="Arial"/>
                <w:sz w:val="22"/>
                <w:szCs w:val="22"/>
                <w:lang w:eastAsia="en-GB"/>
              </w:rPr>
            </w:pPr>
            <w:r w:rsidRPr="00501C8E">
              <w:rPr>
                <w:rFonts w:ascii="Arial" w:hAnsi="Arial" w:cs="Arial"/>
                <w:sz w:val="22"/>
                <w:szCs w:val="22"/>
                <w:lang w:eastAsia="en-GB"/>
              </w:rPr>
              <w:t xml:space="preserve">Green waste – </w:t>
            </w:r>
            <w:r w:rsidR="00D14ECD" w:rsidRPr="00501C8E">
              <w:rPr>
                <w:rFonts w:ascii="Arial" w:hAnsi="Arial" w:cs="Arial"/>
                <w:sz w:val="22"/>
                <w:szCs w:val="22"/>
                <w:lang w:eastAsia="en-GB"/>
              </w:rPr>
              <w:t xml:space="preserve">increase in recycling credit income offset by </w:t>
            </w:r>
            <w:r w:rsidRPr="00501C8E">
              <w:rPr>
                <w:rFonts w:ascii="Arial" w:hAnsi="Arial" w:cs="Arial"/>
                <w:sz w:val="22"/>
                <w:szCs w:val="22"/>
                <w:lang w:eastAsia="en-GB"/>
              </w:rPr>
              <w:t>additional disposal costs</w:t>
            </w:r>
            <w:r w:rsidR="005A6DC8" w:rsidRPr="00501C8E">
              <w:rPr>
                <w:rFonts w:ascii="Arial" w:hAnsi="Arial" w:cs="Arial"/>
                <w:sz w:val="22"/>
                <w:szCs w:val="22"/>
                <w:lang w:eastAsia="en-GB"/>
              </w:rPr>
              <w:t xml:space="preserve"> to September 2016</w:t>
            </w:r>
          </w:p>
        </w:tc>
        <w:tc>
          <w:tcPr>
            <w:tcW w:w="1228" w:type="dxa"/>
            <w:shd w:val="clear" w:color="auto" w:fill="auto"/>
            <w:noWrap/>
            <w:vAlign w:val="bottom"/>
          </w:tcPr>
          <w:p w:rsidR="00B2438C" w:rsidRPr="00501C8E" w:rsidRDefault="008D5FD9" w:rsidP="0047566F">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(8)</w:t>
            </w:r>
          </w:p>
        </w:tc>
      </w:tr>
      <w:tr w:rsidR="00FA2F95" w:rsidRPr="00501C8E" w:rsidTr="00E15FCF">
        <w:trPr>
          <w:trHeight w:val="255"/>
        </w:trPr>
        <w:tc>
          <w:tcPr>
            <w:tcW w:w="7502" w:type="dxa"/>
            <w:shd w:val="clear" w:color="auto" w:fill="auto"/>
            <w:noWrap/>
            <w:vAlign w:val="bottom"/>
          </w:tcPr>
          <w:p w:rsidR="00FA2F95" w:rsidRPr="00501C8E" w:rsidRDefault="00FA2F95" w:rsidP="007A438E">
            <w:pPr>
              <w:numPr>
                <w:ilvl w:val="0"/>
                <w:numId w:val="6"/>
              </w:numPr>
              <w:tabs>
                <w:tab w:val="clear" w:pos="1440"/>
                <w:tab w:val="left" w:pos="522"/>
              </w:tabs>
              <w:ind w:left="522" w:hanging="342"/>
              <w:rPr>
                <w:rFonts w:ascii="Arial" w:hAnsi="Arial" w:cs="Arial"/>
                <w:sz w:val="22"/>
                <w:szCs w:val="22"/>
                <w:lang w:eastAsia="en-GB"/>
              </w:rPr>
            </w:pPr>
            <w:r w:rsidRPr="00501C8E">
              <w:rPr>
                <w:rFonts w:ascii="Arial" w:hAnsi="Arial" w:cs="Arial"/>
                <w:sz w:val="22"/>
                <w:szCs w:val="22"/>
                <w:lang w:eastAsia="en-GB"/>
              </w:rPr>
              <w:t>Green waste – estimated increase in annual subscriptions</w:t>
            </w:r>
          </w:p>
        </w:tc>
        <w:tc>
          <w:tcPr>
            <w:tcW w:w="1228" w:type="dxa"/>
            <w:shd w:val="clear" w:color="auto" w:fill="auto"/>
            <w:noWrap/>
            <w:vAlign w:val="bottom"/>
          </w:tcPr>
          <w:p w:rsidR="00FA2F95" w:rsidRPr="00501C8E" w:rsidRDefault="00FA2F95" w:rsidP="0047566F">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(10)</w:t>
            </w:r>
          </w:p>
        </w:tc>
      </w:tr>
      <w:tr w:rsidR="00897F2D" w:rsidRPr="00501C8E" w:rsidTr="00E15FCF">
        <w:trPr>
          <w:trHeight w:val="255"/>
        </w:trPr>
        <w:tc>
          <w:tcPr>
            <w:tcW w:w="7502" w:type="dxa"/>
            <w:shd w:val="clear" w:color="auto" w:fill="auto"/>
            <w:noWrap/>
            <w:vAlign w:val="bottom"/>
          </w:tcPr>
          <w:p w:rsidR="00897F2D" w:rsidRPr="00501C8E" w:rsidRDefault="00897F2D" w:rsidP="00D14ECD">
            <w:pPr>
              <w:numPr>
                <w:ilvl w:val="0"/>
                <w:numId w:val="6"/>
              </w:numPr>
              <w:tabs>
                <w:tab w:val="clear" w:pos="1440"/>
                <w:tab w:val="left" w:pos="522"/>
              </w:tabs>
              <w:ind w:left="522" w:hanging="342"/>
              <w:rPr>
                <w:rFonts w:ascii="Arial" w:hAnsi="Arial" w:cs="Arial"/>
                <w:sz w:val="22"/>
                <w:szCs w:val="22"/>
                <w:lang w:eastAsia="en-GB"/>
              </w:rPr>
            </w:pPr>
            <w:r w:rsidRPr="00501C8E">
              <w:rPr>
                <w:rFonts w:ascii="Arial" w:hAnsi="Arial" w:cs="Arial"/>
                <w:sz w:val="22"/>
                <w:szCs w:val="22"/>
                <w:lang w:eastAsia="en-GB"/>
              </w:rPr>
              <w:t>Trade waste – savings</w:t>
            </w:r>
            <w:r w:rsidR="007564AC" w:rsidRPr="00501C8E">
              <w:rPr>
                <w:rFonts w:ascii="Arial" w:hAnsi="Arial" w:cs="Arial"/>
                <w:sz w:val="22"/>
                <w:szCs w:val="22"/>
                <w:lang w:eastAsia="en-GB"/>
              </w:rPr>
              <w:t xml:space="preserve"> target</w:t>
            </w:r>
            <w:r w:rsidRPr="00501C8E">
              <w:rPr>
                <w:rFonts w:ascii="Arial" w:hAnsi="Arial" w:cs="Arial"/>
                <w:sz w:val="22"/>
                <w:szCs w:val="22"/>
                <w:lang w:eastAsia="en-GB"/>
              </w:rPr>
              <w:t xml:space="preserve"> </w:t>
            </w:r>
            <w:r w:rsidR="00D14ECD" w:rsidRPr="00501C8E">
              <w:rPr>
                <w:rFonts w:ascii="Arial" w:hAnsi="Arial" w:cs="Arial"/>
                <w:sz w:val="22"/>
                <w:szCs w:val="22"/>
                <w:lang w:eastAsia="en-GB"/>
              </w:rPr>
              <w:t>delayed</w:t>
            </w:r>
            <w:r w:rsidRPr="00501C8E">
              <w:rPr>
                <w:rFonts w:ascii="Arial" w:hAnsi="Arial" w:cs="Arial"/>
                <w:sz w:val="22"/>
                <w:szCs w:val="22"/>
                <w:lang w:eastAsia="en-GB"/>
              </w:rPr>
              <w:t xml:space="preserve"> – new rounds to be rolled out in September</w:t>
            </w:r>
            <w:r w:rsidR="00A6563B" w:rsidRPr="00501C8E">
              <w:rPr>
                <w:rFonts w:ascii="Arial" w:hAnsi="Arial" w:cs="Arial"/>
                <w:sz w:val="22"/>
                <w:szCs w:val="22"/>
                <w:lang w:eastAsia="en-GB"/>
              </w:rPr>
              <w:t>?</w:t>
            </w:r>
          </w:p>
        </w:tc>
        <w:tc>
          <w:tcPr>
            <w:tcW w:w="1228" w:type="dxa"/>
            <w:shd w:val="clear" w:color="auto" w:fill="auto"/>
            <w:noWrap/>
            <w:vAlign w:val="bottom"/>
          </w:tcPr>
          <w:p w:rsidR="00897F2D" w:rsidRPr="00501C8E" w:rsidRDefault="00897F2D" w:rsidP="0047566F">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7</w:t>
            </w:r>
          </w:p>
        </w:tc>
      </w:tr>
      <w:tr w:rsidR="007131BF" w:rsidRPr="00501C8E" w:rsidTr="00E15FCF">
        <w:trPr>
          <w:trHeight w:val="255"/>
        </w:trPr>
        <w:tc>
          <w:tcPr>
            <w:tcW w:w="7502" w:type="dxa"/>
            <w:shd w:val="clear" w:color="auto" w:fill="auto"/>
            <w:noWrap/>
            <w:vAlign w:val="bottom"/>
          </w:tcPr>
          <w:p w:rsidR="007131BF" w:rsidRPr="00501C8E" w:rsidRDefault="007131BF" w:rsidP="007131BF">
            <w:pPr>
              <w:numPr>
                <w:ilvl w:val="0"/>
                <w:numId w:val="6"/>
              </w:numPr>
              <w:tabs>
                <w:tab w:val="clear" w:pos="1440"/>
                <w:tab w:val="left" w:pos="522"/>
              </w:tabs>
              <w:ind w:left="522" w:hanging="342"/>
              <w:rPr>
                <w:rFonts w:ascii="Arial" w:hAnsi="Arial" w:cs="Arial"/>
                <w:sz w:val="22"/>
                <w:szCs w:val="22"/>
                <w:lang w:eastAsia="en-GB"/>
              </w:rPr>
            </w:pPr>
            <w:r w:rsidRPr="00501C8E">
              <w:rPr>
                <w:rFonts w:ascii="Arial" w:hAnsi="Arial" w:cs="Arial"/>
                <w:sz w:val="22"/>
                <w:szCs w:val="22"/>
                <w:lang w:eastAsia="en-GB"/>
              </w:rPr>
              <w:t>Trade waste – reduction in disposal costs – lower tonnage collected (based on estimated price per tonne of £108)</w:t>
            </w:r>
          </w:p>
        </w:tc>
        <w:tc>
          <w:tcPr>
            <w:tcW w:w="1228" w:type="dxa"/>
            <w:shd w:val="clear" w:color="auto" w:fill="auto"/>
            <w:noWrap/>
            <w:vAlign w:val="bottom"/>
          </w:tcPr>
          <w:p w:rsidR="007131BF" w:rsidRPr="00501C8E" w:rsidRDefault="007131BF" w:rsidP="0047566F">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(54)</w:t>
            </w:r>
          </w:p>
        </w:tc>
      </w:tr>
      <w:tr w:rsidR="001B7D16" w:rsidRPr="00501C8E" w:rsidTr="00E15FCF">
        <w:trPr>
          <w:trHeight w:val="255"/>
        </w:trPr>
        <w:tc>
          <w:tcPr>
            <w:tcW w:w="7502" w:type="dxa"/>
            <w:shd w:val="clear" w:color="auto" w:fill="auto"/>
            <w:noWrap/>
            <w:vAlign w:val="bottom"/>
          </w:tcPr>
          <w:p w:rsidR="001B7D16" w:rsidRPr="00501C8E" w:rsidRDefault="001B7D16" w:rsidP="00D14ECD">
            <w:pPr>
              <w:numPr>
                <w:ilvl w:val="0"/>
                <w:numId w:val="6"/>
              </w:numPr>
              <w:tabs>
                <w:tab w:val="clear" w:pos="1440"/>
                <w:tab w:val="left" w:pos="522"/>
              </w:tabs>
              <w:ind w:left="522" w:hanging="342"/>
              <w:rPr>
                <w:rFonts w:ascii="Arial" w:hAnsi="Arial" w:cs="Arial"/>
                <w:sz w:val="22"/>
                <w:szCs w:val="22"/>
                <w:lang w:eastAsia="en-GB"/>
              </w:rPr>
            </w:pPr>
            <w:r w:rsidRPr="00501C8E">
              <w:rPr>
                <w:rFonts w:ascii="Arial" w:hAnsi="Arial" w:cs="Arial"/>
                <w:sz w:val="22"/>
                <w:szCs w:val="22"/>
                <w:lang w:eastAsia="en-GB"/>
              </w:rPr>
              <w:t>Trade waste – inc</w:t>
            </w:r>
            <w:r w:rsidR="002307DB" w:rsidRPr="00501C8E">
              <w:rPr>
                <w:rFonts w:ascii="Arial" w:hAnsi="Arial" w:cs="Arial"/>
                <w:sz w:val="22"/>
                <w:szCs w:val="22"/>
                <w:lang w:eastAsia="en-GB"/>
              </w:rPr>
              <w:t>ome greater than estimated</w:t>
            </w:r>
          </w:p>
        </w:tc>
        <w:tc>
          <w:tcPr>
            <w:tcW w:w="1228" w:type="dxa"/>
            <w:shd w:val="clear" w:color="auto" w:fill="auto"/>
            <w:noWrap/>
            <w:vAlign w:val="bottom"/>
          </w:tcPr>
          <w:p w:rsidR="001B7D16" w:rsidRPr="00501C8E" w:rsidRDefault="001B7D16" w:rsidP="001B7D16">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(20)</w:t>
            </w:r>
          </w:p>
        </w:tc>
      </w:tr>
      <w:tr w:rsidR="008D5FD9" w:rsidRPr="00501C8E" w:rsidTr="00E15FCF">
        <w:trPr>
          <w:trHeight w:val="255"/>
        </w:trPr>
        <w:tc>
          <w:tcPr>
            <w:tcW w:w="7502" w:type="dxa"/>
            <w:shd w:val="clear" w:color="auto" w:fill="auto"/>
            <w:noWrap/>
            <w:vAlign w:val="bottom"/>
          </w:tcPr>
          <w:p w:rsidR="008D5FD9" w:rsidRPr="00501C8E" w:rsidRDefault="008D5FD9" w:rsidP="00897F2D">
            <w:pPr>
              <w:numPr>
                <w:ilvl w:val="0"/>
                <w:numId w:val="6"/>
              </w:numPr>
              <w:tabs>
                <w:tab w:val="clear" w:pos="1440"/>
                <w:tab w:val="left" w:pos="522"/>
              </w:tabs>
              <w:ind w:left="522" w:hanging="342"/>
              <w:rPr>
                <w:rFonts w:ascii="Arial" w:hAnsi="Arial" w:cs="Arial"/>
                <w:sz w:val="22"/>
                <w:szCs w:val="22"/>
                <w:lang w:eastAsia="en-GB"/>
              </w:rPr>
            </w:pPr>
            <w:r w:rsidRPr="00501C8E">
              <w:rPr>
                <w:rFonts w:ascii="Arial" w:hAnsi="Arial" w:cs="Arial"/>
                <w:sz w:val="22"/>
                <w:szCs w:val="22"/>
                <w:lang w:eastAsia="en-GB"/>
              </w:rPr>
              <w:t xml:space="preserve">Street </w:t>
            </w:r>
            <w:r w:rsidR="00897F2D" w:rsidRPr="00501C8E">
              <w:rPr>
                <w:rFonts w:ascii="Arial" w:hAnsi="Arial" w:cs="Arial"/>
                <w:sz w:val="22"/>
                <w:szCs w:val="22"/>
                <w:lang w:eastAsia="en-GB"/>
              </w:rPr>
              <w:t>c</w:t>
            </w:r>
            <w:r w:rsidRPr="00501C8E">
              <w:rPr>
                <w:rFonts w:ascii="Arial" w:hAnsi="Arial" w:cs="Arial"/>
                <w:sz w:val="22"/>
                <w:szCs w:val="22"/>
                <w:lang w:eastAsia="en-GB"/>
              </w:rPr>
              <w:t>leansing – Graffiti removal – SCC contribution ceased</w:t>
            </w:r>
          </w:p>
        </w:tc>
        <w:tc>
          <w:tcPr>
            <w:tcW w:w="1228" w:type="dxa"/>
            <w:shd w:val="clear" w:color="auto" w:fill="auto"/>
            <w:noWrap/>
            <w:vAlign w:val="bottom"/>
          </w:tcPr>
          <w:p w:rsidR="008D5FD9" w:rsidRPr="00501C8E" w:rsidRDefault="008D5FD9" w:rsidP="0047566F">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5</w:t>
            </w:r>
          </w:p>
        </w:tc>
      </w:tr>
      <w:tr w:rsidR="008904CA" w:rsidRPr="00501C8E" w:rsidTr="00E15FCF">
        <w:trPr>
          <w:trHeight w:val="255"/>
        </w:trPr>
        <w:tc>
          <w:tcPr>
            <w:tcW w:w="7502" w:type="dxa"/>
            <w:shd w:val="clear" w:color="auto" w:fill="auto"/>
            <w:noWrap/>
            <w:vAlign w:val="bottom"/>
          </w:tcPr>
          <w:p w:rsidR="008904CA" w:rsidRPr="00501C8E" w:rsidRDefault="008904CA" w:rsidP="00C562DB">
            <w:pPr>
              <w:numPr>
                <w:ilvl w:val="0"/>
                <w:numId w:val="6"/>
              </w:numPr>
              <w:tabs>
                <w:tab w:val="clear" w:pos="1440"/>
                <w:tab w:val="left" w:pos="522"/>
              </w:tabs>
              <w:ind w:left="522" w:hanging="342"/>
              <w:rPr>
                <w:rFonts w:ascii="Arial" w:hAnsi="Arial" w:cs="Arial"/>
                <w:sz w:val="22"/>
                <w:szCs w:val="22"/>
                <w:lang w:eastAsia="en-GB"/>
              </w:rPr>
            </w:pPr>
            <w:r w:rsidRPr="00501C8E">
              <w:rPr>
                <w:rFonts w:ascii="Arial" w:hAnsi="Arial" w:cs="Arial"/>
                <w:sz w:val="22"/>
                <w:szCs w:val="22"/>
                <w:lang w:eastAsia="en-GB"/>
              </w:rPr>
              <w:t xml:space="preserve">Flood mitigation – </w:t>
            </w:r>
            <w:r w:rsidR="00A40896" w:rsidRPr="00501C8E">
              <w:rPr>
                <w:rFonts w:ascii="Arial" w:hAnsi="Arial" w:cs="Arial"/>
                <w:sz w:val="22"/>
                <w:szCs w:val="22"/>
                <w:lang w:eastAsia="en-GB"/>
              </w:rPr>
              <w:t xml:space="preserve">reduced drainage crew </w:t>
            </w:r>
            <w:r w:rsidR="00C562DB" w:rsidRPr="00501C8E">
              <w:rPr>
                <w:rFonts w:ascii="Arial" w:hAnsi="Arial" w:cs="Arial"/>
                <w:sz w:val="22"/>
                <w:szCs w:val="22"/>
                <w:lang w:eastAsia="en-GB"/>
              </w:rPr>
              <w:t xml:space="preserve">reduced costs recovered (including from </w:t>
            </w:r>
            <w:r w:rsidRPr="00501C8E">
              <w:rPr>
                <w:rFonts w:ascii="Arial" w:hAnsi="Arial" w:cs="Arial"/>
                <w:sz w:val="22"/>
                <w:szCs w:val="22"/>
                <w:lang w:eastAsia="en-GB"/>
              </w:rPr>
              <w:t>HRA</w:t>
            </w:r>
            <w:r w:rsidR="00C562DB" w:rsidRPr="00501C8E">
              <w:rPr>
                <w:rFonts w:ascii="Arial" w:hAnsi="Arial" w:cs="Arial"/>
                <w:sz w:val="22"/>
                <w:szCs w:val="22"/>
                <w:lang w:eastAsia="en-GB"/>
              </w:rPr>
              <w:t>).  Offsetting salary savings included elsewhere.</w:t>
            </w:r>
            <w:r w:rsidRPr="00501C8E">
              <w:rPr>
                <w:rFonts w:ascii="Arial" w:hAnsi="Arial" w:cs="Arial"/>
                <w:sz w:val="22"/>
                <w:szCs w:val="22"/>
                <w:lang w:eastAsia="en-GB"/>
              </w:rPr>
              <w:t xml:space="preserve"> </w:t>
            </w:r>
          </w:p>
        </w:tc>
        <w:tc>
          <w:tcPr>
            <w:tcW w:w="1228" w:type="dxa"/>
            <w:shd w:val="clear" w:color="auto" w:fill="auto"/>
            <w:noWrap/>
            <w:vAlign w:val="bottom"/>
          </w:tcPr>
          <w:p w:rsidR="008904CA" w:rsidRPr="00501C8E" w:rsidRDefault="00C562DB" w:rsidP="0047566F">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43</w:t>
            </w:r>
          </w:p>
        </w:tc>
      </w:tr>
      <w:tr w:rsidR="008D5FD9" w:rsidRPr="00501C8E" w:rsidTr="00E15FCF">
        <w:trPr>
          <w:trHeight w:val="255"/>
        </w:trPr>
        <w:tc>
          <w:tcPr>
            <w:tcW w:w="7502" w:type="dxa"/>
            <w:shd w:val="clear" w:color="auto" w:fill="auto"/>
            <w:noWrap/>
            <w:vAlign w:val="bottom"/>
          </w:tcPr>
          <w:p w:rsidR="008D5FD9" w:rsidRPr="00501C8E" w:rsidRDefault="007A438E" w:rsidP="007A438E">
            <w:pPr>
              <w:numPr>
                <w:ilvl w:val="0"/>
                <w:numId w:val="6"/>
              </w:numPr>
              <w:tabs>
                <w:tab w:val="clear" w:pos="1440"/>
                <w:tab w:val="left" w:pos="522"/>
              </w:tabs>
              <w:ind w:left="522" w:hanging="342"/>
              <w:rPr>
                <w:rFonts w:ascii="Arial" w:hAnsi="Arial" w:cs="Arial"/>
                <w:sz w:val="22"/>
                <w:szCs w:val="22"/>
                <w:lang w:eastAsia="en-GB"/>
              </w:rPr>
            </w:pPr>
            <w:r w:rsidRPr="00501C8E">
              <w:rPr>
                <w:rFonts w:ascii="Arial" w:hAnsi="Arial" w:cs="Arial"/>
                <w:sz w:val="22"/>
                <w:szCs w:val="22"/>
                <w:lang w:eastAsia="en-GB"/>
              </w:rPr>
              <w:t xml:space="preserve">Car parks - </w:t>
            </w:r>
            <w:r w:rsidR="008D5FD9" w:rsidRPr="00501C8E">
              <w:rPr>
                <w:rFonts w:ascii="Arial" w:hAnsi="Arial" w:cs="Arial"/>
                <w:sz w:val="22"/>
                <w:szCs w:val="22"/>
                <w:lang w:eastAsia="en-GB"/>
              </w:rPr>
              <w:t xml:space="preserve">Addlestone One MSCP – budgets to be removed </w:t>
            </w:r>
          </w:p>
        </w:tc>
        <w:tc>
          <w:tcPr>
            <w:tcW w:w="1228" w:type="dxa"/>
            <w:shd w:val="clear" w:color="auto" w:fill="auto"/>
            <w:noWrap/>
            <w:vAlign w:val="bottom"/>
          </w:tcPr>
          <w:p w:rsidR="008D5FD9" w:rsidRPr="00501C8E" w:rsidRDefault="008D5FD9" w:rsidP="0047566F">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(9)</w:t>
            </w:r>
          </w:p>
        </w:tc>
      </w:tr>
      <w:tr w:rsidR="008D5FD9" w:rsidRPr="00501C8E" w:rsidTr="00E15FCF">
        <w:trPr>
          <w:trHeight w:val="255"/>
        </w:trPr>
        <w:tc>
          <w:tcPr>
            <w:tcW w:w="7502" w:type="dxa"/>
            <w:shd w:val="clear" w:color="auto" w:fill="auto"/>
            <w:noWrap/>
            <w:vAlign w:val="bottom"/>
          </w:tcPr>
          <w:p w:rsidR="008D5FD9" w:rsidRPr="00501C8E" w:rsidRDefault="007A438E" w:rsidP="007A438E">
            <w:pPr>
              <w:numPr>
                <w:ilvl w:val="0"/>
                <w:numId w:val="6"/>
              </w:numPr>
              <w:tabs>
                <w:tab w:val="clear" w:pos="1440"/>
                <w:tab w:val="left" w:pos="522"/>
              </w:tabs>
              <w:ind w:left="522" w:hanging="342"/>
              <w:rPr>
                <w:rFonts w:ascii="Arial" w:hAnsi="Arial" w:cs="Arial"/>
                <w:sz w:val="22"/>
                <w:szCs w:val="22"/>
                <w:lang w:eastAsia="en-GB"/>
              </w:rPr>
            </w:pPr>
            <w:r w:rsidRPr="00501C8E">
              <w:rPr>
                <w:rFonts w:ascii="Arial" w:hAnsi="Arial" w:cs="Arial"/>
                <w:sz w:val="22"/>
                <w:szCs w:val="22"/>
                <w:lang w:eastAsia="en-GB"/>
              </w:rPr>
              <w:t>Car parks – The Bourne – closure – loss of income offset by reduced costs</w:t>
            </w:r>
          </w:p>
        </w:tc>
        <w:tc>
          <w:tcPr>
            <w:tcW w:w="1228" w:type="dxa"/>
            <w:shd w:val="clear" w:color="auto" w:fill="auto"/>
            <w:noWrap/>
            <w:vAlign w:val="bottom"/>
          </w:tcPr>
          <w:p w:rsidR="008D5FD9" w:rsidRPr="00501C8E" w:rsidRDefault="007A438E" w:rsidP="0047566F">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33</w:t>
            </w:r>
          </w:p>
        </w:tc>
      </w:tr>
      <w:tr w:rsidR="00FA2EAA" w:rsidRPr="00501C8E" w:rsidTr="00E15FCF">
        <w:trPr>
          <w:trHeight w:val="255"/>
        </w:trPr>
        <w:tc>
          <w:tcPr>
            <w:tcW w:w="7502" w:type="dxa"/>
            <w:shd w:val="clear" w:color="auto" w:fill="auto"/>
            <w:noWrap/>
            <w:vAlign w:val="bottom"/>
          </w:tcPr>
          <w:p w:rsidR="00FA2EAA" w:rsidRPr="00501C8E" w:rsidRDefault="00FA2EAA" w:rsidP="007A438E">
            <w:pPr>
              <w:numPr>
                <w:ilvl w:val="0"/>
                <w:numId w:val="6"/>
              </w:numPr>
              <w:tabs>
                <w:tab w:val="clear" w:pos="1440"/>
                <w:tab w:val="left" w:pos="522"/>
              </w:tabs>
              <w:ind w:left="522" w:hanging="342"/>
              <w:rPr>
                <w:rFonts w:ascii="Arial" w:hAnsi="Arial" w:cs="Arial"/>
                <w:sz w:val="22"/>
                <w:szCs w:val="22"/>
                <w:lang w:eastAsia="en-GB"/>
              </w:rPr>
            </w:pPr>
            <w:r w:rsidRPr="00501C8E">
              <w:rPr>
                <w:rFonts w:ascii="Arial" w:hAnsi="Arial" w:cs="Arial"/>
                <w:sz w:val="22"/>
                <w:szCs w:val="22"/>
                <w:lang w:eastAsia="en-GB"/>
              </w:rPr>
              <w:t>Car parks – replacement parking following The Bourne closure (SO42)</w:t>
            </w:r>
          </w:p>
        </w:tc>
        <w:tc>
          <w:tcPr>
            <w:tcW w:w="1228" w:type="dxa"/>
            <w:shd w:val="clear" w:color="auto" w:fill="auto"/>
            <w:noWrap/>
            <w:vAlign w:val="bottom"/>
          </w:tcPr>
          <w:p w:rsidR="00FA2EAA" w:rsidRPr="00501C8E" w:rsidRDefault="00814013" w:rsidP="00FA2EAA">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4</w:t>
            </w:r>
            <w:r w:rsidR="00AE351D" w:rsidRPr="00501C8E">
              <w:rPr>
                <w:rFonts w:ascii="Arial" w:hAnsi="Arial" w:cs="Arial"/>
                <w:sz w:val="22"/>
                <w:szCs w:val="22"/>
                <w:lang w:eastAsia="en-GB"/>
              </w:rPr>
              <w:t>2</w:t>
            </w:r>
          </w:p>
        </w:tc>
      </w:tr>
      <w:tr w:rsidR="007A438E" w:rsidRPr="00501C8E" w:rsidTr="00E15FCF">
        <w:trPr>
          <w:trHeight w:val="255"/>
        </w:trPr>
        <w:tc>
          <w:tcPr>
            <w:tcW w:w="7502" w:type="dxa"/>
            <w:shd w:val="clear" w:color="auto" w:fill="auto"/>
            <w:noWrap/>
            <w:vAlign w:val="bottom"/>
          </w:tcPr>
          <w:p w:rsidR="007A438E" w:rsidRPr="00501C8E" w:rsidRDefault="007A438E" w:rsidP="007A438E">
            <w:pPr>
              <w:numPr>
                <w:ilvl w:val="0"/>
                <w:numId w:val="6"/>
              </w:numPr>
              <w:tabs>
                <w:tab w:val="clear" w:pos="1440"/>
                <w:tab w:val="left" w:pos="522"/>
              </w:tabs>
              <w:ind w:left="522" w:hanging="342"/>
              <w:rPr>
                <w:rFonts w:ascii="Arial" w:hAnsi="Arial" w:cs="Arial"/>
                <w:sz w:val="22"/>
                <w:szCs w:val="22"/>
                <w:lang w:eastAsia="en-GB"/>
              </w:rPr>
            </w:pPr>
            <w:r w:rsidRPr="00501C8E">
              <w:rPr>
                <w:rFonts w:ascii="Arial" w:hAnsi="Arial" w:cs="Arial"/>
                <w:sz w:val="22"/>
                <w:szCs w:val="22"/>
                <w:lang w:eastAsia="en-GB"/>
              </w:rPr>
              <w:t>Car parks – increase in pay and display income</w:t>
            </w:r>
          </w:p>
        </w:tc>
        <w:tc>
          <w:tcPr>
            <w:tcW w:w="1228" w:type="dxa"/>
            <w:shd w:val="clear" w:color="auto" w:fill="auto"/>
            <w:noWrap/>
            <w:vAlign w:val="bottom"/>
          </w:tcPr>
          <w:p w:rsidR="007A438E" w:rsidRPr="00501C8E" w:rsidRDefault="007A438E" w:rsidP="00305F0A">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w:t>
            </w:r>
            <w:r w:rsidR="00305F0A" w:rsidRPr="00501C8E">
              <w:rPr>
                <w:rFonts w:ascii="Arial" w:hAnsi="Arial" w:cs="Arial"/>
                <w:sz w:val="22"/>
                <w:szCs w:val="22"/>
                <w:lang w:eastAsia="en-GB"/>
              </w:rPr>
              <w:t>16</w:t>
            </w:r>
            <w:r w:rsidRPr="00501C8E">
              <w:rPr>
                <w:rFonts w:ascii="Arial" w:hAnsi="Arial" w:cs="Arial"/>
                <w:sz w:val="22"/>
                <w:szCs w:val="22"/>
                <w:lang w:eastAsia="en-GB"/>
              </w:rPr>
              <w:t>)</w:t>
            </w:r>
          </w:p>
        </w:tc>
      </w:tr>
      <w:tr w:rsidR="00C759E4" w:rsidRPr="00501C8E" w:rsidTr="00E15FCF">
        <w:trPr>
          <w:trHeight w:val="255"/>
        </w:trPr>
        <w:tc>
          <w:tcPr>
            <w:tcW w:w="7502" w:type="dxa"/>
            <w:shd w:val="clear" w:color="auto" w:fill="auto"/>
            <w:noWrap/>
            <w:vAlign w:val="bottom"/>
          </w:tcPr>
          <w:p w:rsidR="00C759E4" w:rsidRPr="00501C8E" w:rsidRDefault="00C759E4" w:rsidP="007A438E">
            <w:pPr>
              <w:numPr>
                <w:ilvl w:val="0"/>
                <w:numId w:val="6"/>
              </w:numPr>
              <w:tabs>
                <w:tab w:val="clear" w:pos="1440"/>
                <w:tab w:val="left" w:pos="522"/>
              </w:tabs>
              <w:ind w:left="522" w:hanging="342"/>
              <w:rPr>
                <w:rFonts w:ascii="Arial" w:hAnsi="Arial" w:cs="Arial"/>
                <w:sz w:val="22"/>
                <w:szCs w:val="22"/>
                <w:lang w:eastAsia="en-GB"/>
              </w:rPr>
            </w:pPr>
            <w:r w:rsidRPr="00501C8E">
              <w:rPr>
                <w:rFonts w:ascii="Arial" w:hAnsi="Arial" w:cs="Arial"/>
                <w:sz w:val="22"/>
                <w:szCs w:val="22"/>
                <w:lang w:eastAsia="en-GB"/>
              </w:rPr>
              <w:t>Runnymede Travel Initiative - Increased cost of bus hire plus lower anticipated income (see paragraph 2.8)</w:t>
            </w:r>
          </w:p>
        </w:tc>
        <w:tc>
          <w:tcPr>
            <w:tcW w:w="1228" w:type="dxa"/>
            <w:shd w:val="clear" w:color="auto" w:fill="auto"/>
            <w:noWrap/>
            <w:vAlign w:val="bottom"/>
          </w:tcPr>
          <w:p w:rsidR="00C759E4" w:rsidRPr="00501C8E" w:rsidRDefault="00C759E4" w:rsidP="00305F0A">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46</w:t>
            </w:r>
          </w:p>
        </w:tc>
      </w:tr>
      <w:tr w:rsidR="00DA015A" w:rsidRPr="00501C8E" w:rsidTr="00DA015A">
        <w:trPr>
          <w:trHeight w:val="255"/>
        </w:trPr>
        <w:tc>
          <w:tcPr>
            <w:tcW w:w="7502" w:type="dxa"/>
            <w:shd w:val="clear" w:color="auto" w:fill="auto"/>
            <w:noWrap/>
            <w:vAlign w:val="bottom"/>
          </w:tcPr>
          <w:p w:rsidR="00DA015A" w:rsidRPr="00501C8E" w:rsidRDefault="00DA015A" w:rsidP="00DA015A">
            <w:pPr>
              <w:tabs>
                <w:tab w:val="left" w:pos="522"/>
              </w:tabs>
              <w:ind w:left="162"/>
              <w:rPr>
                <w:rStyle w:val="endsenrhsennumparatext"/>
                <w:rFonts w:ascii="Arial" w:hAnsi="Arial" w:cs="Arial"/>
                <w:sz w:val="22"/>
                <w:szCs w:val="22"/>
                <w:lang w:val="en"/>
              </w:rPr>
            </w:pPr>
          </w:p>
        </w:tc>
        <w:tc>
          <w:tcPr>
            <w:tcW w:w="1228" w:type="dxa"/>
            <w:tcBorders>
              <w:bottom w:val="dotted" w:sz="4" w:space="0" w:color="auto"/>
            </w:tcBorders>
            <w:shd w:val="clear" w:color="auto" w:fill="auto"/>
            <w:noWrap/>
            <w:vAlign w:val="bottom"/>
          </w:tcPr>
          <w:p w:rsidR="00DA015A" w:rsidRPr="00501C8E" w:rsidRDefault="00DA015A" w:rsidP="00DA015A">
            <w:pPr>
              <w:tabs>
                <w:tab w:val="left" w:pos="720"/>
              </w:tabs>
              <w:ind w:left="720" w:hanging="720"/>
              <w:jc w:val="right"/>
              <w:rPr>
                <w:rFonts w:ascii="Arial" w:hAnsi="Arial" w:cs="Arial"/>
                <w:sz w:val="22"/>
                <w:szCs w:val="22"/>
                <w:lang w:eastAsia="en-GB"/>
              </w:rPr>
            </w:pPr>
          </w:p>
        </w:tc>
      </w:tr>
      <w:tr w:rsidR="00DA015A" w:rsidRPr="00501C8E" w:rsidTr="00DA015A">
        <w:trPr>
          <w:trHeight w:val="255"/>
        </w:trPr>
        <w:tc>
          <w:tcPr>
            <w:tcW w:w="7502" w:type="dxa"/>
            <w:shd w:val="clear" w:color="auto" w:fill="auto"/>
            <w:noWrap/>
            <w:vAlign w:val="bottom"/>
          </w:tcPr>
          <w:p w:rsidR="00DA015A" w:rsidRPr="00501C8E" w:rsidRDefault="00DA015A" w:rsidP="00DA015A">
            <w:pPr>
              <w:tabs>
                <w:tab w:val="left" w:pos="522"/>
              </w:tabs>
              <w:ind w:left="162"/>
              <w:rPr>
                <w:rStyle w:val="endsenrhsennumparatext"/>
                <w:rFonts w:ascii="Arial" w:hAnsi="Arial" w:cs="Arial"/>
                <w:b/>
                <w:sz w:val="22"/>
                <w:szCs w:val="22"/>
                <w:lang w:val="en"/>
              </w:rPr>
            </w:pPr>
            <w:r w:rsidRPr="00501C8E">
              <w:rPr>
                <w:rStyle w:val="endsenrhsennumparatext"/>
                <w:rFonts w:ascii="Arial" w:hAnsi="Arial" w:cs="Arial"/>
                <w:b/>
                <w:sz w:val="22"/>
                <w:szCs w:val="22"/>
                <w:lang w:val="en"/>
              </w:rPr>
              <w:t>Planning Services</w:t>
            </w:r>
          </w:p>
        </w:tc>
        <w:tc>
          <w:tcPr>
            <w:tcW w:w="1228" w:type="dxa"/>
            <w:tcBorders>
              <w:bottom w:val="dotted" w:sz="4" w:space="0" w:color="auto"/>
            </w:tcBorders>
            <w:shd w:val="clear" w:color="auto" w:fill="auto"/>
            <w:noWrap/>
            <w:vAlign w:val="bottom"/>
          </w:tcPr>
          <w:p w:rsidR="00DA015A" w:rsidRPr="00501C8E" w:rsidRDefault="00DA015A" w:rsidP="00DA015A">
            <w:pPr>
              <w:tabs>
                <w:tab w:val="left" w:pos="720"/>
              </w:tabs>
              <w:ind w:left="720" w:hanging="720"/>
              <w:jc w:val="right"/>
              <w:rPr>
                <w:rFonts w:ascii="Arial" w:hAnsi="Arial" w:cs="Arial"/>
                <w:b/>
                <w:sz w:val="22"/>
                <w:szCs w:val="22"/>
                <w:lang w:eastAsia="en-GB"/>
              </w:rPr>
            </w:pPr>
          </w:p>
        </w:tc>
      </w:tr>
      <w:tr w:rsidR="00DA015A" w:rsidRPr="00501C8E" w:rsidTr="00DA015A">
        <w:trPr>
          <w:trHeight w:val="255"/>
        </w:trPr>
        <w:tc>
          <w:tcPr>
            <w:tcW w:w="7502" w:type="dxa"/>
            <w:shd w:val="clear" w:color="auto" w:fill="auto"/>
            <w:noWrap/>
            <w:vAlign w:val="bottom"/>
          </w:tcPr>
          <w:p w:rsidR="00DA015A" w:rsidRPr="00501C8E" w:rsidRDefault="00DA015A" w:rsidP="00DA015A">
            <w:pPr>
              <w:numPr>
                <w:ilvl w:val="0"/>
                <w:numId w:val="6"/>
              </w:numPr>
              <w:tabs>
                <w:tab w:val="clear" w:pos="1440"/>
                <w:tab w:val="left" w:pos="522"/>
              </w:tabs>
              <w:ind w:left="522"/>
              <w:rPr>
                <w:rFonts w:ascii="Arial" w:hAnsi="Arial" w:cs="Arial"/>
                <w:sz w:val="22"/>
                <w:szCs w:val="22"/>
                <w:lang w:eastAsia="en-GB"/>
              </w:rPr>
            </w:pPr>
            <w:r w:rsidRPr="00501C8E">
              <w:rPr>
                <w:rFonts w:ascii="Arial" w:hAnsi="Arial" w:cs="Arial"/>
                <w:sz w:val="22"/>
                <w:szCs w:val="22"/>
                <w:lang w:eastAsia="en-GB"/>
              </w:rPr>
              <w:t>Planning Policy – Local Plan budget required but not carried forward from 2015/16</w:t>
            </w:r>
          </w:p>
        </w:tc>
        <w:tc>
          <w:tcPr>
            <w:tcW w:w="1228" w:type="dxa"/>
            <w:tcBorders>
              <w:bottom w:val="dotted" w:sz="4" w:space="0" w:color="auto"/>
            </w:tcBorders>
            <w:shd w:val="clear" w:color="auto" w:fill="auto"/>
            <w:noWrap/>
            <w:vAlign w:val="bottom"/>
          </w:tcPr>
          <w:p w:rsidR="00DA015A" w:rsidRPr="00501C8E" w:rsidRDefault="00DA015A" w:rsidP="00DA015A">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40</w:t>
            </w:r>
          </w:p>
        </w:tc>
      </w:tr>
      <w:tr w:rsidR="00DA015A" w:rsidRPr="00501C8E" w:rsidTr="00DA015A">
        <w:trPr>
          <w:trHeight w:val="255"/>
        </w:trPr>
        <w:tc>
          <w:tcPr>
            <w:tcW w:w="7502" w:type="dxa"/>
            <w:shd w:val="clear" w:color="auto" w:fill="auto"/>
            <w:noWrap/>
            <w:vAlign w:val="bottom"/>
          </w:tcPr>
          <w:p w:rsidR="00DA015A" w:rsidRPr="00501C8E" w:rsidRDefault="00DA015A" w:rsidP="00DA015A">
            <w:pPr>
              <w:numPr>
                <w:ilvl w:val="0"/>
                <w:numId w:val="6"/>
              </w:numPr>
              <w:tabs>
                <w:tab w:val="clear" w:pos="1440"/>
                <w:tab w:val="left" w:pos="522"/>
              </w:tabs>
              <w:ind w:left="522"/>
              <w:rPr>
                <w:rFonts w:ascii="Arial" w:hAnsi="Arial" w:cs="Arial"/>
                <w:sz w:val="22"/>
                <w:szCs w:val="22"/>
                <w:lang w:eastAsia="en-GB"/>
              </w:rPr>
            </w:pPr>
            <w:r w:rsidRPr="00501C8E">
              <w:rPr>
                <w:rFonts w:ascii="Arial" w:hAnsi="Arial" w:cs="Arial"/>
                <w:sz w:val="22"/>
                <w:szCs w:val="22"/>
                <w:lang w:eastAsia="en-GB"/>
              </w:rPr>
              <w:t>Planning Policy – Local Plan - Additional consultancy required for Infrastructure Capacity Study</w:t>
            </w:r>
          </w:p>
        </w:tc>
        <w:tc>
          <w:tcPr>
            <w:tcW w:w="1228" w:type="dxa"/>
            <w:tcBorders>
              <w:bottom w:val="dotted" w:sz="4" w:space="0" w:color="auto"/>
            </w:tcBorders>
            <w:shd w:val="clear" w:color="auto" w:fill="auto"/>
            <w:noWrap/>
            <w:vAlign w:val="bottom"/>
          </w:tcPr>
          <w:p w:rsidR="00DA015A" w:rsidRPr="00501C8E" w:rsidRDefault="00CF524D" w:rsidP="00DA015A">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43</w:t>
            </w:r>
          </w:p>
        </w:tc>
      </w:tr>
      <w:tr w:rsidR="00DA015A" w:rsidRPr="00501C8E" w:rsidTr="00DA015A">
        <w:trPr>
          <w:trHeight w:val="255"/>
        </w:trPr>
        <w:tc>
          <w:tcPr>
            <w:tcW w:w="7502" w:type="dxa"/>
            <w:shd w:val="clear" w:color="auto" w:fill="auto"/>
            <w:noWrap/>
            <w:vAlign w:val="bottom"/>
          </w:tcPr>
          <w:p w:rsidR="00DA015A" w:rsidRPr="00501C8E" w:rsidRDefault="00DA015A" w:rsidP="00DA015A">
            <w:pPr>
              <w:numPr>
                <w:ilvl w:val="0"/>
                <w:numId w:val="6"/>
              </w:numPr>
              <w:tabs>
                <w:tab w:val="clear" w:pos="1440"/>
                <w:tab w:val="left" w:pos="522"/>
              </w:tabs>
              <w:ind w:left="522"/>
              <w:rPr>
                <w:rFonts w:ascii="Arial" w:hAnsi="Arial" w:cs="Arial"/>
                <w:sz w:val="22"/>
                <w:szCs w:val="22"/>
                <w:lang w:eastAsia="en-GB"/>
              </w:rPr>
            </w:pPr>
            <w:r w:rsidRPr="00501C8E">
              <w:rPr>
                <w:rFonts w:ascii="Arial" w:hAnsi="Arial" w:cs="Arial"/>
                <w:sz w:val="22"/>
                <w:szCs w:val="22"/>
                <w:lang w:eastAsia="en-GB"/>
              </w:rPr>
              <w:t>Planning Policy – Local Plan - Additional consultancy required for Viability assessment</w:t>
            </w:r>
          </w:p>
        </w:tc>
        <w:tc>
          <w:tcPr>
            <w:tcW w:w="1228" w:type="dxa"/>
            <w:tcBorders>
              <w:bottom w:val="dotted" w:sz="4" w:space="0" w:color="auto"/>
            </w:tcBorders>
            <w:shd w:val="clear" w:color="auto" w:fill="auto"/>
            <w:noWrap/>
            <w:vAlign w:val="bottom"/>
          </w:tcPr>
          <w:p w:rsidR="00DA015A" w:rsidRPr="00501C8E" w:rsidRDefault="00DA015A" w:rsidP="00DA015A">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40</w:t>
            </w:r>
          </w:p>
        </w:tc>
      </w:tr>
      <w:tr w:rsidR="00DA015A" w:rsidRPr="00501C8E" w:rsidTr="00DA015A">
        <w:trPr>
          <w:trHeight w:val="255"/>
        </w:trPr>
        <w:tc>
          <w:tcPr>
            <w:tcW w:w="7502" w:type="dxa"/>
            <w:shd w:val="clear" w:color="auto" w:fill="auto"/>
            <w:noWrap/>
            <w:vAlign w:val="bottom"/>
          </w:tcPr>
          <w:p w:rsidR="00DA015A" w:rsidRPr="00501C8E" w:rsidRDefault="00DA015A" w:rsidP="00DA015A">
            <w:pPr>
              <w:numPr>
                <w:ilvl w:val="0"/>
                <w:numId w:val="6"/>
              </w:numPr>
              <w:tabs>
                <w:tab w:val="clear" w:pos="1440"/>
                <w:tab w:val="left" w:pos="522"/>
              </w:tabs>
              <w:ind w:left="522"/>
              <w:rPr>
                <w:rFonts w:ascii="Arial" w:hAnsi="Arial" w:cs="Arial"/>
                <w:sz w:val="22"/>
                <w:szCs w:val="22"/>
                <w:lang w:eastAsia="en-GB"/>
              </w:rPr>
            </w:pPr>
            <w:r w:rsidRPr="00501C8E">
              <w:rPr>
                <w:rFonts w:ascii="Arial" w:hAnsi="Arial" w:cs="Arial"/>
                <w:sz w:val="22"/>
                <w:szCs w:val="22"/>
                <w:lang w:eastAsia="en-GB"/>
              </w:rPr>
              <w:t>Development Management – Costs recovered relating to the Longcross Judicial Review (DERA Site)</w:t>
            </w:r>
          </w:p>
        </w:tc>
        <w:tc>
          <w:tcPr>
            <w:tcW w:w="1228" w:type="dxa"/>
            <w:tcBorders>
              <w:bottom w:val="dotted" w:sz="4" w:space="0" w:color="auto"/>
            </w:tcBorders>
            <w:shd w:val="clear" w:color="auto" w:fill="auto"/>
            <w:noWrap/>
            <w:vAlign w:val="bottom"/>
          </w:tcPr>
          <w:p w:rsidR="00DA015A" w:rsidRPr="00501C8E" w:rsidRDefault="00DA015A" w:rsidP="00DA015A">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(61)</w:t>
            </w:r>
          </w:p>
        </w:tc>
      </w:tr>
      <w:tr w:rsidR="00305F0A" w:rsidRPr="00501C8E" w:rsidTr="00DA015A">
        <w:trPr>
          <w:trHeight w:val="255"/>
        </w:trPr>
        <w:tc>
          <w:tcPr>
            <w:tcW w:w="7502" w:type="dxa"/>
            <w:shd w:val="clear" w:color="auto" w:fill="auto"/>
            <w:noWrap/>
            <w:vAlign w:val="bottom"/>
          </w:tcPr>
          <w:p w:rsidR="00305F0A" w:rsidRPr="00501C8E" w:rsidRDefault="00305F0A" w:rsidP="00DA015A">
            <w:pPr>
              <w:tabs>
                <w:tab w:val="left" w:pos="522"/>
              </w:tabs>
              <w:ind w:left="522"/>
              <w:rPr>
                <w:rFonts w:ascii="Arial" w:hAnsi="Arial" w:cs="Arial"/>
                <w:sz w:val="22"/>
                <w:szCs w:val="22"/>
                <w:lang w:eastAsia="en-GB"/>
              </w:rPr>
            </w:pPr>
          </w:p>
        </w:tc>
        <w:tc>
          <w:tcPr>
            <w:tcW w:w="1228" w:type="dxa"/>
            <w:tcBorders>
              <w:bottom w:val="dotted" w:sz="4" w:space="0" w:color="auto"/>
            </w:tcBorders>
            <w:shd w:val="clear" w:color="auto" w:fill="auto"/>
            <w:noWrap/>
            <w:vAlign w:val="bottom"/>
          </w:tcPr>
          <w:p w:rsidR="00305F0A" w:rsidRPr="00501C8E" w:rsidRDefault="00305F0A" w:rsidP="00DA015A">
            <w:pPr>
              <w:tabs>
                <w:tab w:val="left" w:pos="720"/>
              </w:tabs>
              <w:ind w:left="720" w:hanging="720"/>
              <w:jc w:val="right"/>
              <w:rPr>
                <w:rFonts w:ascii="Arial" w:hAnsi="Arial" w:cs="Arial"/>
                <w:sz w:val="22"/>
                <w:szCs w:val="22"/>
                <w:lang w:eastAsia="en-GB"/>
              </w:rPr>
            </w:pPr>
          </w:p>
        </w:tc>
      </w:tr>
      <w:tr w:rsidR="00305F0A" w:rsidRPr="00501C8E" w:rsidTr="004A3E3C">
        <w:trPr>
          <w:trHeight w:val="255"/>
        </w:trPr>
        <w:tc>
          <w:tcPr>
            <w:tcW w:w="7502" w:type="dxa"/>
            <w:shd w:val="clear" w:color="auto" w:fill="auto"/>
            <w:noWrap/>
            <w:vAlign w:val="bottom"/>
          </w:tcPr>
          <w:p w:rsidR="00305F0A" w:rsidRPr="00501C8E" w:rsidRDefault="00305F0A" w:rsidP="004A3E3C">
            <w:pPr>
              <w:tabs>
                <w:tab w:val="left" w:pos="522"/>
              </w:tabs>
              <w:ind w:left="162"/>
              <w:rPr>
                <w:rStyle w:val="endsenrhsennumparatext"/>
                <w:rFonts w:ascii="Arial" w:hAnsi="Arial" w:cs="Arial"/>
                <w:b/>
                <w:sz w:val="22"/>
                <w:szCs w:val="22"/>
                <w:lang w:val="en"/>
              </w:rPr>
            </w:pPr>
            <w:r w:rsidRPr="00501C8E">
              <w:rPr>
                <w:rStyle w:val="endsenrhsennumparatext"/>
                <w:rFonts w:ascii="Arial" w:hAnsi="Arial" w:cs="Arial"/>
                <w:b/>
                <w:sz w:val="22"/>
                <w:szCs w:val="22"/>
                <w:lang w:val="en"/>
              </w:rPr>
              <w:t>Licensing Committee</w:t>
            </w:r>
          </w:p>
        </w:tc>
        <w:tc>
          <w:tcPr>
            <w:tcW w:w="1228" w:type="dxa"/>
            <w:tcBorders>
              <w:bottom w:val="dotted" w:sz="4" w:space="0" w:color="auto"/>
            </w:tcBorders>
            <w:shd w:val="clear" w:color="auto" w:fill="auto"/>
            <w:noWrap/>
            <w:vAlign w:val="bottom"/>
          </w:tcPr>
          <w:p w:rsidR="00305F0A" w:rsidRPr="00501C8E" w:rsidRDefault="00305F0A" w:rsidP="004A3E3C">
            <w:pPr>
              <w:tabs>
                <w:tab w:val="left" w:pos="720"/>
              </w:tabs>
              <w:ind w:left="720" w:hanging="720"/>
              <w:jc w:val="right"/>
              <w:rPr>
                <w:rFonts w:ascii="Arial" w:hAnsi="Arial" w:cs="Arial"/>
                <w:b/>
                <w:sz w:val="22"/>
                <w:szCs w:val="22"/>
                <w:lang w:eastAsia="en-GB"/>
              </w:rPr>
            </w:pPr>
          </w:p>
        </w:tc>
      </w:tr>
      <w:tr w:rsidR="00305F0A" w:rsidRPr="00501C8E" w:rsidTr="004A3E3C">
        <w:trPr>
          <w:trHeight w:val="255"/>
        </w:trPr>
        <w:tc>
          <w:tcPr>
            <w:tcW w:w="7502" w:type="dxa"/>
            <w:shd w:val="clear" w:color="auto" w:fill="auto"/>
            <w:noWrap/>
            <w:vAlign w:val="bottom"/>
          </w:tcPr>
          <w:p w:rsidR="00305F0A" w:rsidRPr="00501C8E" w:rsidRDefault="00305F0A" w:rsidP="004A3E3C">
            <w:pPr>
              <w:numPr>
                <w:ilvl w:val="0"/>
                <w:numId w:val="6"/>
              </w:numPr>
              <w:tabs>
                <w:tab w:val="clear" w:pos="1440"/>
                <w:tab w:val="left" w:pos="522"/>
              </w:tabs>
              <w:ind w:left="522" w:hanging="342"/>
              <w:rPr>
                <w:rFonts w:ascii="Arial" w:hAnsi="Arial" w:cs="Arial"/>
                <w:sz w:val="22"/>
                <w:szCs w:val="22"/>
                <w:lang w:eastAsia="en-GB"/>
              </w:rPr>
            </w:pPr>
            <w:r w:rsidRPr="00501C8E">
              <w:rPr>
                <w:rFonts w:ascii="Arial" w:hAnsi="Arial" w:cs="Arial"/>
                <w:sz w:val="22"/>
                <w:szCs w:val="22"/>
                <w:lang w:eastAsia="en-GB"/>
              </w:rPr>
              <w:t>Alcohol and related licensing – income less than estimated</w:t>
            </w:r>
          </w:p>
        </w:tc>
        <w:tc>
          <w:tcPr>
            <w:tcW w:w="1228" w:type="dxa"/>
            <w:shd w:val="clear" w:color="auto" w:fill="auto"/>
            <w:noWrap/>
            <w:vAlign w:val="bottom"/>
          </w:tcPr>
          <w:p w:rsidR="00305F0A" w:rsidRPr="00501C8E" w:rsidRDefault="00305F0A" w:rsidP="004A3E3C">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7</w:t>
            </w:r>
          </w:p>
        </w:tc>
      </w:tr>
      <w:tr w:rsidR="00DA015A" w:rsidRPr="00501C8E" w:rsidTr="00DA015A">
        <w:trPr>
          <w:trHeight w:val="255"/>
        </w:trPr>
        <w:tc>
          <w:tcPr>
            <w:tcW w:w="7502" w:type="dxa"/>
            <w:shd w:val="clear" w:color="auto" w:fill="auto"/>
            <w:noWrap/>
            <w:vAlign w:val="bottom"/>
          </w:tcPr>
          <w:p w:rsidR="00DA015A" w:rsidRPr="00501C8E" w:rsidRDefault="00DA015A" w:rsidP="00DA015A">
            <w:pPr>
              <w:tabs>
                <w:tab w:val="left" w:pos="522"/>
              </w:tabs>
              <w:ind w:left="522"/>
              <w:rPr>
                <w:rFonts w:ascii="Arial" w:hAnsi="Arial" w:cs="Arial"/>
                <w:sz w:val="22"/>
                <w:szCs w:val="22"/>
                <w:lang w:eastAsia="en-GB"/>
              </w:rPr>
            </w:pPr>
          </w:p>
        </w:tc>
        <w:tc>
          <w:tcPr>
            <w:tcW w:w="1228" w:type="dxa"/>
            <w:tcBorders>
              <w:bottom w:val="dotted" w:sz="4" w:space="0" w:color="auto"/>
            </w:tcBorders>
            <w:shd w:val="clear" w:color="auto" w:fill="auto"/>
            <w:noWrap/>
            <w:vAlign w:val="bottom"/>
          </w:tcPr>
          <w:p w:rsidR="00DA015A" w:rsidRPr="00501C8E" w:rsidRDefault="00DA015A" w:rsidP="00DA015A">
            <w:pPr>
              <w:tabs>
                <w:tab w:val="left" w:pos="720"/>
              </w:tabs>
              <w:ind w:left="720" w:hanging="720"/>
              <w:jc w:val="right"/>
              <w:rPr>
                <w:rFonts w:ascii="Arial" w:hAnsi="Arial" w:cs="Arial"/>
                <w:sz w:val="22"/>
                <w:szCs w:val="22"/>
                <w:lang w:eastAsia="en-GB"/>
              </w:rPr>
            </w:pPr>
          </w:p>
        </w:tc>
      </w:tr>
      <w:tr w:rsidR="00B2438C" w:rsidRPr="00501C8E" w:rsidTr="00E15FCF">
        <w:trPr>
          <w:trHeight w:val="255"/>
        </w:trPr>
        <w:tc>
          <w:tcPr>
            <w:tcW w:w="7502" w:type="dxa"/>
            <w:shd w:val="clear" w:color="auto" w:fill="auto"/>
            <w:noWrap/>
            <w:vAlign w:val="bottom"/>
          </w:tcPr>
          <w:p w:rsidR="00B2438C" w:rsidRPr="00501C8E" w:rsidRDefault="00B2438C" w:rsidP="00C562DB">
            <w:pPr>
              <w:tabs>
                <w:tab w:val="left" w:pos="522"/>
              </w:tabs>
              <w:ind w:left="162"/>
              <w:rPr>
                <w:rStyle w:val="endsenrhsennumparatext"/>
                <w:rFonts w:ascii="Arial" w:hAnsi="Arial" w:cs="Arial"/>
                <w:b/>
                <w:sz w:val="22"/>
                <w:szCs w:val="22"/>
                <w:lang w:val="en"/>
              </w:rPr>
            </w:pPr>
            <w:r w:rsidRPr="00501C8E">
              <w:rPr>
                <w:rStyle w:val="endsenrhsennumparatext"/>
                <w:rFonts w:ascii="Arial" w:hAnsi="Arial" w:cs="Arial"/>
                <w:b/>
                <w:sz w:val="22"/>
                <w:szCs w:val="22"/>
                <w:lang w:val="en"/>
              </w:rPr>
              <w:t>Corporate Management Committee</w:t>
            </w:r>
            <w:r w:rsidR="00CF10DA" w:rsidRPr="00501C8E">
              <w:rPr>
                <w:rStyle w:val="endsenrhsennumparatext"/>
                <w:rFonts w:ascii="Arial" w:hAnsi="Arial" w:cs="Arial"/>
                <w:b/>
                <w:sz w:val="22"/>
                <w:szCs w:val="22"/>
                <w:lang w:val="en"/>
              </w:rPr>
              <w:t xml:space="preserve"> - </w:t>
            </w:r>
            <w:r w:rsidR="00C562DB" w:rsidRPr="00501C8E">
              <w:rPr>
                <w:rStyle w:val="endsenrhsennumparatext"/>
                <w:rFonts w:ascii="Arial" w:hAnsi="Arial" w:cs="Arial"/>
                <w:b/>
                <w:sz w:val="22"/>
                <w:szCs w:val="22"/>
                <w:lang w:val="en"/>
              </w:rPr>
              <w:t>Corporate Management</w:t>
            </w:r>
          </w:p>
        </w:tc>
        <w:tc>
          <w:tcPr>
            <w:tcW w:w="1228" w:type="dxa"/>
            <w:tcBorders>
              <w:bottom w:val="dotted" w:sz="4" w:space="0" w:color="auto"/>
            </w:tcBorders>
            <w:shd w:val="clear" w:color="auto" w:fill="auto"/>
            <w:noWrap/>
            <w:vAlign w:val="bottom"/>
          </w:tcPr>
          <w:p w:rsidR="00B2438C" w:rsidRPr="00501C8E" w:rsidRDefault="00B2438C" w:rsidP="0047566F">
            <w:pPr>
              <w:tabs>
                <w:tab w:val="left" w:pos="720"/>
              </w:tabs>
              <w:ind w:left="720" w:hanging="720"/>
              <w:jc w:val="right"/>
              <w:rPr>
                <w:rFonts w:ascii="Arial" w:hAnsi="Arial" w:cs="Arial"/>
                <w:b/>
                <w:sz w:val="22"/>
                <w:szCs w:val="22"/>
                <w:lang w:eastAsia="en-GB"/>
              </w:rPr>
            </w:pPr>
          </w:p>
        </w:tc>
      </w:tr>
      <w:tr w:rsidR="0047566F" w:rsidRPr="00501C8E" w:rsidTr="00E15FCF">
        <w:trPr>
          <w:trHeight w:val="255"/>
        </w:trPr>
        <w:tc>
          <w:tcPr>
            <w:tcW w:w="7502" w:type="dxa"/>
            <w:shd w:val="clear" w:color="auto" w:fill="auto"/>
            <w:noWrap/>
            <w:vAlign w:val="center"/>
          </w:tcPr>
          <w:p w:rsidR="0047566F" w:rsidRPr="00501C8E" w:rsidRDefault="0047566F" w:rsidP="00935198">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Compliance &amp; Review - P/U - Economic Development Strategy work</w:t>
            </w:r>
          </w:p>
        </w:tc>
        <w:tc>
          <w:tcPr>
            <w:tcW w:w="1228" w:type="dxa"/>
            <w:tcBorders>
              <w:bottom w:val="dotted" w:sz="4" w:space="0" w:color="auto"/>
            </w:tcBorders>
            <w:shd w:val="clear" w:color="auto" w:fill="auto"/>
            <w:noWrap/>
            <w:vAlign w:val="bottom"/>
          </w:tcPr>
          <w:p w:rsidR="0047566F" w:rsidRPr="00501C8E" w:rsidRDefault="0047566F" w:rsidP="0047566F">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5</w:t>
            </w:r>
          </w:p>
        </w:tc>
      </w:tr>
      <w:tr w:rsidR="00506F38" w:rsidRPr="00501C8E" w:rsidTr="00E15FCF">
        <w:trPr>
          <w:trHeight w:val="255"/>
        </w:trPr>
        <w:tc>
          <w:tcPr>
            <w:tcW w:w="7502" w:type="dxa"/>
            <w:shd w:val="clear" w:color="auto" w:fill="auto"/>
            <w:noWrap/>
            <w:vAlign w:val="center"/>
          </w:tcPr>
          <w:p w:rsidR="00506F38" w:rsidRPr="00501C8E" w:rsidRDefault="00506F38" w:rsidP="00935198">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Corporate External Audit – provision reduced</w:t>
            </w:r>
          </w:p>
        </w:tc>
        <w:tc>
          <w:tcPr>
            <w:tcW w:w="1228" w:type="dxa"/>
            <w:tcBorders>
              <w:bottom w:val="dotted" w:sz="4" w:space="0" w:color="auto"/>
            </w:tcBorders>
            <w:shd w:val="clear" w:color="auto" w:fill="auto"/>
            <w:noWrap/>
            <w:vAlign w:val="bottom"/>
          </w:tcPr>
          <w:p w:rsidR="00506F38" w:rsidRPr="00501C8E" w:rsidRDefault="0072681F" w:rsidP="0047566F">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w:t>
            </w:r>
            <w:r w:rsidR="009B31AD" w:rsidRPr="00501C8E">
              <w:rPr>
                <w:rFonts w:ascii="Arial" w:hAnsi="Arial" w:cs="Arial"/>
                <w:sz w:val="22"/>
                <w:szCs w:val="22"/>
                <w:lang w:eastAsia="en-GB"/>
              </w:rPr>
              <w:t>21</w:t>
            </w:r>
            <w:r w:rsidRPr="00501C8E">
              <w:rPr>
                <w:rFonts w:ascii="Arial" w:hAnsi="Arial" w:cs="Arial"/>
                <w:sz w:val="22"/>
                <w:szCs w:val="22"/>
                <w:lang w:eastAsia="en-GB"/>
              </w:rPr>
              <w:t>)</w:t>
            </w:r>
          </w:p>
        </w:tc>
      </w:tr>
      <w:tr w:rsidR="00381291" w:rsidRPr="00501C8E" w:rsidTr="00E15FCF">
        <w:trPr>
          <w:trHeight w:val="255"/>
        </w:trPr>
        <w:tc>
          <w:tcPr>
            <w:tcW w:w="7502" w:type="dxa"/>
            <w:shd w:val="clear" w:color="auto" w:fill="auto"/>
            <w:noWrap/>
            <w:vAlign w:val="center"/>
          </w:tcPr>
          <w:p w:rsidR="00381291" w:rsidRPr="00501C8E" w:rsidRDefault="00E15FCF" w:rsidP="00935198">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lastRenderedPageBreak/>
              <w:t>Media training</w:t>
            </w:r>
          </w:p>
        </w:tc>
        <w:tc>
          <w:tcPr>
            <w:tcW w:w="1228" w:type="dxa"/>
            <w:tcBorders>
              <w:bottom w:val="dotted" w:sz="4" w:space="0" w:color="auto"/>
            </w:tcBorders>
            <w:shd w:val="clear" w:color="auto" w:fill="auto"/>
            <w:noWrap/>
            <w:vAlign w:val="bottom"/>
          </w:tcPr>
          <w:p w:rsidR="00381291" w:rsidRPr="00501C8E" w:rsidRDefault="005756A0" w:rsidP="008C0B46">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3</w:t>
            </w:r>
          </w:p>
        </w:tc>
      </w:tr>
      <w:tr w:rsidR="00147742" w:rsidRPr="00501C8E" w:rsidTr="00E15FCF">
        <w:trPr>
          <w:trHeight w:val="255"/>
        </w:trPr>
        <w:tc>
          <w:tcPr>
            <w:tcW w:w="7502" w:type="dxa"/>
            <w:shd w:val="clear" w:color="auto" w:fill="auto"/>
            <w:noWrap/>
            <w:vAlign w:val="center"/>
          </w:tcPr>
          <w:p w:rsidR="00147742" w:rsidRPr="00501C8E" w:rsidRDefault="00147742" w:rsidP="00E15FCF">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Chief Executive</w:t>
            </w:r>
            <w:r w:rsidR="00E15FCF" w:rsidRPr="00501C8E">
              <w:rPr>
                <w:rStyle w:val="endsenrhsennumparatext"/>
                <w:rFonts w:ascii="Arial" w:hAnsi="Arial" w:cs="Arial"/>
                <w:sz w:val="22"/>
                <w:szCs w:val="22"/>
                <w:lang w:val="en"/>
              </w:rPr>
              <w:t>’</w:t>
            </w:r>
            <w:r w:rsidRPr="00501C8E">
              <w:rPr>
                <w:rStyle w:val="endsenrhsennumparatext"/>
                <w:rFonts w:ascii="Arial" w:hAnsi="Arial" w:cs="Arial"/>
                <w:sz w:val="22"/>
                <w:szCs w:val="22"/>
                <w:lang w:val="en"/>
              </w:rPr>
              <w:t xml:space="preserve">s </w:t>
            </w:r>
            <w:r w:rsidR="00E15FCF" w:rsidRPr="00501C8E">
              <w:rPr>
                <w:rStyle w:val="endsenrhsennumparatext"/>
                <w:rFonts w:ascii="Arial" w:hAnsi="Arial" w:cs="Arial"/>
                <w:sz w:val="22"/>
                <w:szCs w:val="22"/>
                <w:lang w:val="en"/>
              </w:rPr>
              <w:t>New Initiative Fund (NIF)</w:t>
            </w:r>
            <w:r w:rsidRPr="00501C8E">
              <w:rPr>
                <w:rStyle w:val="endsenrhsennumparatext"/>
                <w:rFonts w:ascii="Arial" w:hAnsi="Arial" w:cs="Arial"/>
                <w:sz w:val="22"/>
                <w:szCs w:val="22"/>
                <w:lang w:val="en"/>
              </w:rPr>
              <w:t xml:space="preserve"> (CMC - </w:t>
            </w:r>
            <w:r w:rsidR="00E15FCF" w:rsidRPr="00501C8E">
              <w:rPr>
                <w:rStyle w:val="endsenrhsennumparatext"/>
                <w:rFonts w:ascii="Arial" w:hAnsi="Arial" w:cs="Arial"/>
                <w:sz w:val="22"/>
                <w:szCs w:val="22"/>
                <w:lang w:val="en"/>
              </w:rPr>
              <w:t>July</w:t>
            </w:r>
            <w:r w:rsidRPr="00501C8E">
              <w:rPr>
                <w:rStyle w:val="endsenrhsennumparatext"/>
                <w:rFonts w:ascii="Arial" w:hAnsi="Arial" w:cs="Arial"/>
                <w:sz w:val="22"/>
                <w:szCs w:val="22"/>
                <w:lang w:val="en"/>
              </w:rPr>
              <w:t xml:space="preserve">  2016)</w:t>
            </w:r>
            <w:r w:rsidR="005756A0" w:rsidRPr="00501C8E">
              <w:rPr>
                <w:rStyle w:val="endsenrhsennumparatext"/>
                <w:rFonts w:ascii="Arial" w:hAnsi="Arial" w:cs="Arial"/>
                <w:sz w:val="22"/>
                <w:szCs w:val="22"/>
                <w:lang w:val="en"/>
              </w:rPr>
              <w:t xml:space="preserve"> (reduced from £34,000)</w:t>
            </w:r>
          </w:p>
        </w:tc>
        <w:tc>
          <w:tcPr>
            <w:tcW w:w="1228" w:type="dxa"/>
            <w:tcBorders>
              <w:bottom w:val="dotted" w:sz="4" w:space="0" w:color="auto"/>
            </w:tcBorders>
            <w:shd w:val="clear" w:color="auto" w:fill="auto"/>
            <w:noWrap/>
            <w:vAlign w:val="bottom"/>
          </w:tcPr>
          <w:p w:rsidR="00147742" w:rsidRPr="00501C8E" w:rsidRDefault="005756A0" w:rsidP="004A3E3C">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10</w:t>
            </w:r>
          </w:p>
        </w:tc>
      </w:tr>
      <w:tr w:rsidR="00381291" w:rsidRPr="00501C8E" w:rsidTr="00E15FCF">
        <w:trPr>
          <w:trHeight w:val="255"/>
        </w:trPr>
        <w:tc>
          <w:tcPr>
            <w:tcW w:w="7502" w:type="dxa"/>
            <w:shd w:val="clear" w:color="auto" w:fill="auto"/>
            <w:noWrap/>
            <w:vAlign w:val="center"/>
          </w:tcPr>
          <w:p w:rsidR="00381291" w:rsidRPr="00501C8E" w:rsidRDefault="00381291" w:rsidP="00381291">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 xml:space="preserve">Runnymede Pleasure Ground </w:t>
            </w:r>
            <w:r w:rsidR="00E15FCF" w:rsidRPr="00501C8E">
              <w:rPr>
                <w:rStyle w:val="endsenrhsennumparatext"/>
                <w:rFonts w:ascii="Arial" w:hAnsi="Arial" w:cs="Arial"/>
                <w:sz w:val="22"/>
                <w:szCs w:val="22"/>
                <w:lang w:val="en"/>
              </w:rPr>
              <w:t>–</w:t>
            </w:r>
            <w:r w:rsidRPr="00501C8E">
              <w:rPr>
                <w:rStyle w:val="endsenrhsennumparatext"/>
                <w:rFonts w:ascii="Arial" w:hAnsi="Arial" w:cs="Arial"/>
                <w:sz w:val="22"/>
                <w:szCs w:val="22"/>
                <w:lang w:val="en"/>
              </w:rPr>
              <w:t xml:space="preserve"> </w:t>
            </w:r>
            <w:r w:rsidR="005B120A" w:rsidRPr="00501C8E">
              <w:rPr>
                <w:rStyle w:val="endsenrhsennumparatext"/>
                <w:rFonts w:ascii="Arial" w:hAnsi="Arial" w:cs="Arial"/>
                <w:sz w:val="22"/>
                <w:szCs w:val="22"/>
                <w:lang w:val="en"/>
              </w:rPr>
              <w:t>consultancy</w:t>
            </w:r>
            <w:r w:rsidR="00E15FCF" w:rsidRPr="00501C8E">
              <w:rPr>
                <w:rStyle w:val="endsenrhsennumparatext"/>
                <w:rFonts w:ascii="Arial" w:hAnsi="Arial" w:cs="Arial"/>
                <w:sz w:val="22"/>
                <w:szCs w:val="22"/>
                <w:lang w:val="en"/>
              </w:rPr>
              <w:t xml:space="preserve"> (virement from NIF)</w:t>
            </w:r>
          </w:p>
        </w:tc>
        <w:tc>
          <w:tcPr>
            <w:tcW w:w="1228" w:type="dxa"/>
            <w:tcBorders>
              <w:bottom w:val="dotted" w:sz="4" w:space="0" w:color="auto"/>
            </w:tcBorders>
            <w:shd w:val="clear" w:color="auto" w:fill="auto"/>
            <w:noWrap/>
            <w:vAlign w:val="bottom"/>
          </w:tcPr>
          <w:p w:rsidR="00381291" w:rsidRPr="00501C8E" w:rsidRDefault="004A3E3C" w:rsidP="004A3E3C">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11</w:t>
            </w:r>
          </w:p>
        </w:tc>
      </w:tr>
      <w:tr w:rsidR="00147742" w:rsidRPr="00501C8E" w:rsidTr="00E15FCF">
        <w:trPr>
          <w:trHeight w:val="255"/>
        </w:trPr>
        <w:tc>
          <w:tcPr>
            <w:tcW w:w="7502" w:type="dxa"/>
            <w:shd w:val="clear" w:color="auto" w:fill="auto"/>
            <w:noWrap/>
            <w:vAlign w:val="center"/>
          </w:tcPr>
          <w:p w:rsidR="00147742" w:rsidRPr="00501C8E" w:rsidRDefault="002B2508" w:rsidP="005B120A">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 xml:space="preserve">Public Acc - </w:t>
            </w:r>
            <w:r w:rsidR="005B120A" w:rsidRPr="00501C8E">
              <w:rPr>
                <w:rStyle w:val="endsenrhsennumparatext"/>
                <w:rFonts w:ascii="Arial" w:hAnsi="Arial" w:cs="Arial"/>
                <w:sz w:val="22"/>
                <w:szCs w:val="22"/>
                <w:lang w:val="en"/>
              </w:rPr>
              <w:t>B</w:t>
            </w:r>
            <w:r w:rsidR="00381291" w:rsidRPr="00501C8E">
              <w:rPr>
                <w:rStyle w:val="endsenrhsennumparatext"/>
                <w:rFonts w:ascii="Arial" w:hAnsi="Arial" w:cs="Arial"/>
                <w:sz w:val="22"/>
                <w:szCs w:val="22"/>
                <w:lang w:val="en"/>
              </w:rPr>
              <w:t>usiness</w:t>
            </w:r>
            <w:r w:rsidR="005B120A" w:rsidRPr="00501C8E">
              <w:rPr>
                <w:rStyle w:val="endsenrhsennumparatext"/>
                <w:rFonts w:ascii="Arial" w:hAnsi="Arial" w:cs="Arial"/>
                <w:sz w:val="22"/>
                <w:szCs w:val="22"/>
                <w:lang w:val="en"/>
              </w:rPr>
              <w:t xml:space="preserve"> engagement</w:t>
            </w:r>
            <w:r w:rsidR="00E15FCF" w:rsidRPr="00501C8E">
              <w:rPr>
                <w:rStyle w:val="endsenrhsennumparatext"/>
                <w:rFonts w:ascii="Arial" w:hAnsi="Arial" w:cs="Arial"/>
                <w:sz w:val="22"/>
                <w:szCs w:val="22"/>
                <w:lang w:val="en"/>
              </w:rPr>
              <w:t xml:space="preserve"> (virement from NIF)</w:t>
            </w:r>
          </w:p>
        </w:tc>
        <w:tc>
          <w:tcPr>
            <w:tcW w:w="1228" w:type="dxa"/>
            <w:tcBorders>
              <w:bottom w:val="dotted" w:sz="4" w:space="0" w:color="auto"/>
            </w:tcBorders>
            <w:shd w:val="clear" w:color="auto" w:fill="auto"/>
            <w:noWrap/>
            <w:vAlign w:val="bottom"/>
          </w:tcPr>
          <w:p w:rsidR="00147742" w:rsidRPr="00501C8E" w:rsidRDefault="00381291" w:rsidP="008C0B46">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5</w:t>
            </w:r>
          </w:p>
        </w:tc>
      </w:tr>
      <w:tr w:rsidR="002B2508" w:rsidRPr="00501C8E" w:rsidTr="002B2508">
        <w:trPr>
          <w:trHeight w:val="255"/>
        </w:trPr>
        <w:tc>
          <w:tcPr>
            <w:tcW w:w="7502" w:type="dxa"/>
            <w:shd w:val="clear" w:color="auto" w:fill="auto"/>
            <w:noWrap/>
            <w:vAlign w:val="center"/>
          </w:tcPr>
          <w:p w:rsidR="002B2508" w:rsidRPr="00501C8E" w:rsidRDefault="002B2508" w:rsidP="002B2508">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Public Acc - Corporate Business Plan  - P/U - Provision for consultants</w:t>
            </w:r>
          </w:p>
        </w:tc>
        <w:tc>
          <w:tcPr>
            <w:tcW w:w="1228" w:type="dxa"/>
            <w:tcBorders>
              <w:bottom w:val="dotted" w:sz="4" w:space="0" w:color="auto"/>
            </w:tcBorders>
            <w:shd w:val="clear" w:color="auto" w:fill="auto"/>
            <w:noWrap/>
            <w:vAlign w:val="bottom"/>
          </w:tcPr>
          <w:p w:rsidR="002B2508" w:rsidRPr="00501C8E" w:rsidRDefault="002B2508" w:rsidP="002B2508">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6</w:t>
            </w:r>
          </w:p>
        </w:tc>
      </w:tr>
      <w:tr w:rsidR="002B2508" w:rsidRPr="00501C8E" w:rsidTr="002B2508">
        <w:trPr>
          <w:trHeight w:val="255"/>
        </w:trPr>
        <w:tc>
          <w:tcPr>
            <w:tcW w:w="7502" w:type="dxa"/>
            <w:shd w:val="clear" w:color="auto" w:fill="auto"/>
            <w:noWrap/>
            <w:vAlign w:val="center"/>
          </w:tcPr>
          <w:p w:rsidR="002B2508" w:rsidRPr="00501C8E" w:rsidRDefault="002B2508" w:rsidP="002B2508">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Public Acc - Enterprise Zone (Supplementary Estimate CMC – Aug 2016)</w:t>
            </w:r>
          </w:p>
        </w:tc>
        <w:tc>
          <w:tcPr>
            <w:tcW w:w="1228" w:type="dxa"/>
            <w:tcBorders>
              <w:bottom w:val="dotted" w:sz="4" w:space="0" w:color="auto"/>
            </w:tcBorders>
            <w:shd w:val="clear" w:color="auto" w:fill="auto"/>
            <w:noWrap/>
            <w:vAlign w:val="bottom"/>
          </w:tcPr>
          <w:p w:rsidR="002B2508" w:rsidRPr="00501C8E" w:rsidRDefault="002B2508" w:rsidP="002B2508">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34</w:t>
            </w:r>
          </w:p>
        </w:tc>
      </w:tr>
      <w:tr w:rsidR="00C562DB" w:rsidRPr="00501C8E" w:rsidTr="002B2508">
        <w:trPr>
          <w:trHeight w:val="255"/>
        </w:trPr>
        <w:tc>
          <w:tcPr>
            <w:tcW w:w="7502" w:type="dxa"/>
            <w:shd w:val="clear" w:color="auto" w:fill="auto"/>
            <w:noWrap/>
            <w:vAlign w:val="center"/>
          </w:tcPr>
          <w:p w:rsidR="00C562DB" w:rsidRPr="00501C8E" w:rsidRDefault="00C562DB" w:rsidP="00C562DB">
            <w:pPr>
              <w:pStyle w:val="ListParagraph"/>
              <w:ind w:left="590"/>
              <w:rPr>
                <w:rStyle w:val="endsenrhsennumparatext"/>
                <w:rFonts w:ascii="Arial" w:hAnsi="Arial" w:cs="Arial"/>
                <w:sz w:val="22"/>
                <w:szCs w:val="22"/>
                <w:lang w:val="en"/>
              </w:rPr>
            </w:pPr>
          </w:p>
        </w:tc>
        <w:tc>
          <w:tcPr>
            <w:tcW w:w="1228" w:type="dxa"/>
            <w:tcBorders>
              <w:bottom w:val="dotted" w:sz="4" w:space="0" w:color="auto"/>
            </w:tcBorders>
            <w:shd w:val="clear" w:color="auto" w:fill="auto"/>
            <w:noWrap/>
            <w:vAlign w:val="bottom"/>
          </w:tcPr>
          <w:p w:rsidR="00C562DB" w:rsidRPr="00501C8E" w:rsidRDefault="00C562DB" w:rsidP="002B2508">
            <w:pPr>
              <w:tabs>
                <w:tab w:val="left" w:pos="522"/>
              </w:tabs>
              <w:ind w:left="522"/>
              <w:jc w:val="right"/>
              <w:rPr>
                <w:rFonts w:ascii="Arial" w:hAnsi="Arial" w:cs="Arial"/>
                <w:sz w:val="22"/>
                <w:szCs w:val="22"/>
                <w:lang w:eastAsia="en-GB"/>
              </w:rPr>
            </w:pPr>
          </w:p>
        </w:tc>
      </w:tr>
      <w:tr w:rsidR="00381291" w:rsidRPr="00501C8E" w:rsidTr="00E15FCF">
        <w:trPr>
          <w:trHeight w:val="255"/>
        </w:trPr>
        <w:tc>
          <w:tcPr>
            <w:tcW w:w="7502" w:type="dxa"/>
            <w:shd w:val="clear" w:color="auto" w:fill="auto"/>
            <w:noWrap/>
            <w:vAlign w:val="center"/>
          </w:tcPr>
          <w:p w:rsidR="00381291" w:rsidRPr="00501C8E" w:rsidRDefault="00C562DB" w:rsidP="00C562DB">
            <w:pPr>
              <w:pStyle w:val="ListParagraph"/>
              <w:ind w:left="165"/>
              <w:rPr>
                <w:rStyle w:val="endsenrhsennumparatext"/>
                <w:rFonts w:ascii="Arial" w:hAnsi="Arial" w:cs="Arial"/>
                <w:b/>
                <w:sz w:val="22"/>
                <w:szCs w:val="22"/>
                <w:lang w:val="en"/>
              </w:rPr>
            </w:pPr>
            <w:r w:rsidRPr="00501C8E">
              <w:rPr>
                <w:rStyle w:val="endsenrhsennumparatext"/>
                <w:rFonts w:ascii="Arial" w:hAnsi="Arial" w:cs="Arial"/>
                <w:b/>
                <w:sz w:val="22"/>
                <w:szCs w:val="22"/>
                <w:lang w:val="en"/>
              </w:rPr>
              <w:t xml:space="preserve">Corporate Management Committee - </w:t>
            </w:r>
            <w:r w:rsidR="00381291" w:rsidRPr="00501C8E">
              <w:rPr>
                <w:rStyle w:val="endsenrhsennumparatext"/>
                <w:rFonts w:ascii="Arial" w:hAnsi="Arial" w:cs="Arial"/>
                <w:b/>
                <w:sz w:val="22"/>
                <w:szCs w:val="22"/>
                <w:lang w:val="en"/>
              </w:rPr>
              <w:t>Other</w:t>
            </w:r>
          </w:p>
        </w:tc>
        <w:tc>
          <w:tcPr>
            <w:tcW w:w="1228" w:type="dxa"/>
            <w:tcBorders>
              <w:bottom w:val="dotted" w:sz="4" w:space="0" w:color="auto"/>
            </w:tcBorders>
            <w:shd w:val="clear" w:color="auto" w:fill="auto"/>
            <w:noWrap/>
            <w:vAlign w:val="bottom"/>
          </w:tcPr>
          <w:p w:rsidR="00381291" w:rsidRPr="00501C8E" w:rsidRDefault="00381291" w:rsidP="008C0B46">
            <w:pPr>
              <w:tabs>
                <w:tab w:val="left" w:pos="522"/>
              </w:tabs>
              <w:ind w:left="522"/>
              <w:jc w:val="right"/>
              <w:rPr>
                <w:rFonts w:ascii="Arial" w:hAnsi="Arial" w:cs="Arial"/>
                <w:sz w:val="22"/>
                <w:szCs w:val="22"/>
                <w:lang w:eastAsia="en-GB"/>
              </w:rPr>
            </w:pPr>
          </w:p>
        </w:tc>
      </w:tr>
      <w:tr w:rsidR="009B31AD" w:rsidRPr="00501C8E" w:rsidTr="00E15FCF">
        <w:trPr>
          <w:trHeight w:val="255"/>
        </w:trPr>
        <w:tc>
          <w:tcPr>
            <w:tcW w:w="7502" w:type="dxa"/>
            <w:shd w:val="clear" w:color="auto" w:fill="auto"/>
            <w:noWrap/>
            <w:vAlign w:val="center"/>
          </w:tcPr>
          <w:p w:rsidR="009B31AD" w:rsidRPr="00501C8E" w:rsidRDefault="009B31AD" w:rsidP="00147742">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 xml:space="preserve">Members Allowances increased </w:t>
            </w:r>
            <w:r w:rsidR="007A5DEF" w:rsidRPr="00501C8E">
              <w:rPr>
                <w:rStyle w:val="endsenrhsennumparatext"/>
                <w:rFonts w:ascii="Arial" w:hAnsi="Arial" w:cs="Arial"/>
                <w:sz w:val="22"/>
                <w:szCs w:val="22"/>
                <w:lang w:val="en"/>
              </w:rPr>
              <w:t>(</w:t>
            </w:r>
            <w:r w:rsidRPr="00501C8E">
              <w:rPr>
                <w:rStyle w:val="endsenrhsennumparatext"/>
                <w:rFonts w:ascii="Arial" w:hAnsi="Arial" w:cs="Arial"/>
                <w:sz w:val="22"/>
                <w:szCs w:val="22"/>
                <w:lang w:val="en"/>
              </w:rPr>
              <w:t>CMC – Feb 2016</w:t>
            </w:r>
            <w:r w:rsidR="007A5DEF" w:rsidRPr="00501C8E">
              <w:rPr>
                <w:rStyle w:val="endsenrhsennumparatext"/>
                <w:rFonts w:ascii="Arial" w:hAnsi="Arial" w:cs="Arial"/>
                <w:sz w:val="22"/>
                <w:szCs w:val="22"/>
                <w:lang w:val="en"/>
              </w:rPr>
              <w:t>)</w:t>
            </w:r>
          </w:p>
        </w:tc>
        <w:tc>
          <w:tcPr>
            <w:tcW w:w="1228" w:type="dxa"/>
            <w:tcBorders>
              <w:bottom w:val="dotted" w:sz="4" w:space="0" w:color="auto"/>
            </w:tcBorders>
            <w:shd w:val="clear" w:color="auto" w:fill="auto"/>
            <w:noWrap/>
            <w:vAlign w:val="bottom"/>
          </w:tcPr>
          <w:p w:rsidR="009B31AD" w:rsidRPr="00501C8E" w:rsidRDefault="008C0B46" w:rsidP="008C0B46">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22</w:t>
            </w:r>
          </w:p>
        </w:tc>
      </w:tr>
      <w:tr w:rsidR="00E15FCF" w:rsidRPr="00501C8E" w:rsidTr="00E15FCF">
        <w:trPr>
          <w:trHeight w:val="255"/>
        </w:trPr>
        <w:tc>
          <w:tcPr>
            <w:tcW w:w="7502" w:type="dxa"/>
            <w:shd w:val="clear" w:color="auto" w:fill="auto"/>
            <w:noWrap/>
            <w:vAlign w:val="center"/>
          </w:tcPr>
          <w:p w:rsidR="00E15FCF" w:rsidRPr="00501C8E" w:rsidRDefault="00E15FCF" w:rsidP="008C0B46">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Elections boundary review</w:t>
            </w:r>
          </w:p>
        </w:tc>
        <w:tc>
          <w:tcPr>
            <w:tcW w:w="1228" w:type="dxa"/>
            <w:tcBorders>
              <w:bottom w:val="dotted" w:sz="4" w:space="0" w:color="auto"/>
            </w:tcBorders>
            <w:shd w:val="clear" w:color="auto" w:fill="auto"/>
            <w:noWrap/>
            <w:vAlign w:val="bottom"/>
          </w:tcPr>
          <w:p w:rsidR="00E15FCF" w:rsidRPr="00501C8E" w:rsidRDefault="00E15FCF" w:rsidP="008C0B46">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5</w:t>
            </w:r>
          </w:p>
        </w:tc>
      </w:tr>
      <w:tr w:rsidR="00147742" w:rsidRPr="00501C8E" w:rsidTr="00E15FCF">
        <w:trPr>
          <w:trHeight w:val="255"/>
        </w:trPr>
        <w:tc>
          <w:tcPr>
            <w:tcW w:w="7502" w:type="dxa"/>
            <w:shd w:val="clear" w:color="auto" w:fill="auto"/>
            <w:noWrap/>
            <w:vAlign w:val="center"/>
          </w:tcPr>
          <w:p w:rsidR="00147742" w:rsidRPr="00501C8E" w:rsidRDefault="00147742" w:rsidP="008C0B46">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Public Relations – Freedom of the Borough</w:t>
            </w:r>
          </w:p>
        </w:tc>
        <w:tc>
          <w:tcPr>
            <w:tcW w:w="1228" w:type="dxa"/>
            <w:tcBorders>
              <w:bottom w:val="dotted" w:sz="4" w:space="0" w:color="auto"/>
            </w:tcBorders>
            <w:shd w:val="clear" w:color="auto" w:fill="auto"/>
            <w:noWrap/>
            <w:vAlign w:val="bottom"/>
          </w:tcPr>
          <w:p w:rsidR="00147742" w:rsidRPr="00501C8E" w:rsidRDefault="004A3E3C" w:rsidP="008C0B46">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7</w:t>
            </w:r>
          </w:p>
        </w:tc>
      </w:tr>
      <w:tr w:rsidR="005B26FA" w:rsidRPr="00501C8E" w:rsidTr="00E15FCF">
        <w:trPr>
          <w:trHeight w:val="255"/>
        </w:trPr>
        <w:tc>
          <w:tcPr>
            <w:tcW w:w="7502" w:type="dxa"/>
            <w:shd w:val="clear" w:color="auto" w:fill="auto"/>
            <w:noWrap/>
            <w:vAlign w:val="center"/>
          </w:tcPr>
          <w:p w:rsidR="005B26FA" w:rsidRPr="00501C8E" w:rsidRDefault="005B26FA" w:rsidP="008C0B46">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Register of electors – additional grant funding</w:t>
            </w:r>
          </w:p>
        </w:tc>
        <w:tc>
          <w:tcPr>
            <w:tcW w:w="1228" w:type="dxa"/>
            <w:tcBorders>
              <w:bottom w:val="dotted" w:sz="4" w:space="0" w:color="auto"/>
            </w:tcBorders>
            <w:shd w:val="clear" w:color="auto" w:fill="auto"/>
            <w:noWrap/>
            <w:vAlign w:val="bottom"/>
          </w:tcPr>
          <w:p w:rsidR="005B26FA" w:rsidRPr="00501C8E" w:rsidRDefault="005B26FA" w:rsidP="008C0B46">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(12)</w:t>
            </w:r>
          </w:p>
        </w:tc>
      </w:tr>
      <w:tr w:rsidR="008C0B46" w:rsidRPr="00501C8E" w:rsidTr="00E15FCF">
        <w:trPr>
          <w:trHeight w:val="255"/>
        </w:trPr>
        <w:tc>
          <w:tcPr>
            <w:tcW w:w="7502" w:type="dxa"/>
            <w:shd w:val="clear" w:color="auto" w:fill="auto"/>
            <w:noWrap/>
            <w:vAlign w:val="center"/>
          </w:tcPr>
          <w:p w:rsidR="008C0B46" w:rsidRPr="00501C8E" w:rsidRDefault="008C0B46" w:rsidP="008C0B46">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Local land charges – upgrade costs</w:t>
            </w:r>
          </w:p>
        </w:tc>
        <w:tc>
          <w:tcPr>
            <w:tcW w:w="1228" w:type="dxa"/>
            <w:tcBorders>
              <w:bottom w:val="dotted" w:sz="4" w:space="0" w:color="auto"/>
            </w:tcBorders>
            <w:shd w:val="clear" w:color="auto" w:fill="auto"/>
            <w:noWrap/>
            <w:vAlign w:val="bottom"/>
          </w:tcPr>
          <w:p w:rsidR="008C0B46" w:rsidRPr="00501C8E" w:rsidRDefault="008C0B46" w:rsidP="008C0B46">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5</w:t>
            </w:r>
          </w:p>
        </w:tc>
      </w:tr>
      <w:tr w:rsidR="00147742" w:rsidRPr="00501C8E" w:rsidTr="00E15FCF">
        <w:trPr>
          <w:trHeight w:val="255"/>
        </w:trPr>
        <w:tc>
          <w:tcPr>
            <w:tcW w:w="7502" w:type="dxa"/>
            <w:shd w:val="clear" w:color="auto" w:fill="auto"/>
            <w:noWrap/>
            <w:vAlign w:val="center"/>
          </w:tcPr>
          <w:p w:rsidR="00147742" w:rsidRPr="00501C8E" w:rsidRDefault="00147742" w:rsidP="00147742">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 xml:space="preserve">Council Tax – redundancy costs </w:t>
            </w:r>
            <w:r w:rsidR="004A3E3C" w:rsidRPr="00501C8E">
              <w:rPr>
                <w:rStyle w:val="endsenrhsennumparatext"/>
                <w:rFonts w:ascii="Arial" w:hAnsi="Arial" w:cs="Arial"/>
                <w:sz w:val="22"/>
                <w:szCs w:val="22"/>
                <w:lang w:val="en"/>
              </w:rPr>
              <w:t>(CMC June 2016)</w:t>
            </w:r>
          </w:p>
        </w:tc>
        <w:tc>
          <w:tcPr>
            <w:tcW w:w="1228" w:type="dxa"/>
            <w:tcBorders>
              <w:bottom w:val="dotted" w:sz="4" w:space="0" w:color="auto"/>
            </w:tcBorders>
            <w:shd w:val="clear" w:color="auto" w:fill="auto"/>
            <w:noWrap/>
            <w:vAlign w:val="bottom"/>
          </w:tcPr>
          <w:p w:rsidR="00147742" w:rsidRPr="00501C8E" w:rsidRDefault="00147742" w:rsidP="00147742">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146</w:t>
            </w:r>
          </w:p>
        </w:tc>
      </w:tr>
      <w:tr w:rsidR="00506F38" w:rsidRPr="00501C8E" w:rsidTr="00E15FCF">
        <w:trPr>
          <w:trHeight w:val="255"/>
        </w:trPr>
        <w:tc>
          <w:tcPr>
            <w:tcW w:w="7502" w:type="dxa"/>
            <w:shd w:val="clear" w:color="auto" w:fill="auto"/>
            <w:noWrap/>
            <w:vAlign w:val="center"/>
          </w:tcPr>
          <w:p w:rsidR="00506F38" w:rsidRPr="00501C8E" w:rsidRDefault="00506F38" w:rsidP="0056133E">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 xml:space="preserve">Contingencies Planning – Purchase of Hydrosnakes (CMC – </w:t>
            </w:r>
            <w:r w:rsidR="00B2234C" w:rsidRPr="00501C8E">
              <w:rPr>
                <w:rStyle w:val="endsenrhsennumparatext"/>
                <w:rFonts w:ascii="Arial" w:hAnsi="Arial" w:cs="Arial"/>
                <w:sz w:val="22"/>
                <w:szCs w:val="22"/>
                <w:lang w:val="en"/>
              </w:rPr>
              <w:t>Mar</w:t>
            </w:r>
            <w:r w:rsidRPr="00501C8E">
              <w:rPr>
                <w:rStyle w:val="endsenrhsennumparatext"/>
                <w:rFonts w:ascii="Arial" w:hAnsi="Arial" w:cs="Arial"/>
                <w:sz w:val="22"/>
                <w:szCs w:val="22"/>
                <w:lang w:val="en"/>
              </w:rPr>
              <w:t xml:space="preserve"> 2016)</w:t>
            </w:r>
          </w:p>
        </w:tc>
        <w:tc>
          <w:tcPr>
            <w:tcW w:w="1228" w:type="dxa"/>
            <w:tcBorders>
              <w:bottom w:val="dotted" w:sz="4" w:space="0" w:color="auto"/>
            </w:tcBorders>
            <w:shd w:val="clear" w:color="auto" w:fill="auto"/>
            <w:noWrap/>
            <w:vAlign w:val="bottom"/>
          </w:tcPr>
          <w:p w:rsidR="00506F38" w:rsidRPr="00501C8E" w:rsidRDefault="00B2234C" w:rsidP="00B2234C">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16</w:t>
            </w:r>
          </w:p>
        </w:tc>
      </w:tr>
      <w:tr w:rsidR="00A47797" w:rsidRPr="00501C8E" w:rsidTr="00E15FCF">
        <w:trPr>
          <w:trHeight w:val="255"/>
        </w:trPr>
        <w:tc>
          <w:tcPr>
            <w:tcW w:w="7502" w:type="dxa"/>
            <w:shd w:val="clear" w:color="auto" w:fill="auto"/>
            <w:noWrap/>
            <w:vAlign w:val="center"/>
          </w:tcPr>
          <w:p w:rsidR="00A47797" w:rsidRPr="00501C8E" w:rsidRDefault="00F84DFA" w:rsidP="00F84DFA">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Contingencies Planning – Vulnerable people data module (CMC – Jun 2016)</w:t>
            </w:r>
          </w:p>
        </w:tc>
        <w:tc>
          <w:tcPr>
            <w:tcW w:w="1228" w:type="dxa"/>
            <w:tcBorders>
              <w:bottom w:val="dotted" w:sz="4" w:space="0" w:color="auto"/>
            </w:tcBorders>
            <w:shd w:val="clear" w:color="auto" w:fill="auto"/>
            <w:noWrap/>
            <w:vAlign w:val="bottom"/>
          </w:tcPr>
          <w:p w:rsidR="00A47797" w:rsidRPr="00501C8E" w:rsidRDefault="00F84DFA" w:rsidP="0047566F">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7</w:t>
            </w:r>
          </w:p>
        </w:tc>
      </w:tr>
      <w:tr w:rsidR="005B26FA" w:rsidRPr="00501C8E" w:rsidTr="00E15FCF">
        <w:trPr>
          <w:trHeight w:val="255"/>
        </w:trPr>
        <w:tc>
          <w:tcPr>
            <w:tcW w:w="7502" w:type="dxa"/>
            <w:shd w:val="clear" w:color="auto" w:fill="auto"/>
            <w:noWrap/>
            <w:vAlign w:val="center"/>
          </w:tcPr>
          <w:p w:rsidR="005B26FA" w:rsidRPr="00501C8E" w:rsidRDefault="005B26FA" w:rsidP="005B26FA">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Contingencies Planning – Dividends no longer expected in 2016/17</w:t>
            </w:r>
          </w:p>
        </w:tc>
        <w:tc>
          <w:tcPr>
            <w:tcW w:w="1228" w:type="dxa"/>
            <w:tcBorders>
              <w:bottom w:val="dotted" w:sz="4" w:space="0" w:color="auto"/>
            </w:tcBorders>
            <w:shd w:val="clear" w:color="auto" w:fill="auto"/>
            <w:noWrap/>
            <w:vAlign w:val="bottom"/>
          </w:tcPr>
          <w:p w:rsidR="005B26FA" w:rsidRPr="00501C8E" w:rsidRDefault="005B26FA" w:rsidP="0047566F">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6</w:t>
            </w:r>
          </w:p>
        </w:tc>
      </w:tr>
      <w:tr w:rsidR="000052D0" w:rsidRPr="00501C8E" w:rsidTr="00E15FCF">
        <w:trPr>
          <w:trHeight w:val="255"/>
        </w:trPr>
        <w:tc>
          <w:tcPr>
            <w:tcW w:w="7502" w:type="dxa"/>
            <w:shd w:val="clear" w:color="auto" w:fill="auto"/>
            <w:noWrap/>
            <w:vAlign w:val="center"/>
          </w:tcPr>
          <w:p w:rsidR="000052D0" w:rsidRPr="00501C8E" w:rsidRDefault="00276C18" w:rsidP="00276C18">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Civic Centre - S</w:t>
            </w:r>
            <w:r w:rsidR="000052D0" w:rsidRPr="00501C8E">
              <w:rPr>
                <w:rStyle w:val="endsenrhsennumparatext"/>
                <w:rFonts w:ascii="Arial" w:hAnsi="Arial" w:cs="Arial"/>
                <w:sz w:val="22"/>
                <w:szCs w:val="22"/>
                <w:lang w:val="en"/>
              </w:rPr>
              <w:t>taff car parking –</w:t>
            </w:r>
            <w:r w:rsidR="0072681F" w:rsidRPr="00501C8E">
              <w:rPr>
                <w:rStyle w:val="endsenrhsennumparatext"/>
                <w:rFonts w:ascii="Arial" w:hAnsi="Arial" w:cs="Arial"/>
                <w:sz w:val="22"/>
                <w:szCs w:val="22"/>
                <w:lang w:val="en"/>
              </w:rPr>
              <w:t xml:space="preserve"> rent of spaces </w:t>
            </w:r>
            <w:r w:rsidRPr="00501C8E">
              <w:rPr>
                <w:rStyle w:val="endsenrhsennumparatext"/>
                <w:rFonts w:ascii="Arial" w:hAnsi="Arial" w:cs="Arial"/>
                <w:sz w:val="22"/>
                <w:szCs w:val="22"/>
                <w:lang w:val="en"/>
              </w:rPr>
              <w:t>in Addlestone Multi-Storey car park (CMC – June 2016)</w:t>
            </w:r>
          </w:p>
        </w:tc>
        <w:tc>
          <w:tcPr>
            <w:tcW w:w="1228" w:type="dxa"/>
            <w:tcBorders>
              <w:bottom w:val="dotted" w:sz="4" w:space="0" w:color="auto"/>
            </w:tcBorders>
            <w:shd w:val="clear" w:color="auto" w:fill="auto"/>
            <w:noWrap/>
            <w:vAlign w:val="bottom"/>
          </w:tcPr>
          <w:p w:rsidR="000052D0" w:rsidRPr="00501C8E" w:rsidRDefault="0072681F" w:rsidP="00276C18">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5</w:t>
            </w:r>
            <w:r w:rsidR="00276C18" w:rsidRPr="00501C8E">
              <w:rPr>
                <w:rFonts w:ascii="Arial" w:hAnsi="Arial" w:cs="Arial"/>
                <w:sz w:val="22"/>
                <w:szCs w:val="22"/>
                <w:lang w:eastAsia="en-GB"/>
              </w:rPr>
              <w:t>3</w:t>
            </w:r>
          </w:p>
        </w:tc>
      </w:tr>
      <w:tr w:rsidR="00B2234C" w:rsidRPr="00501C8E" w:rsidTr="00E15FCF">
        <w:trPr>
          <w:trHeight w:val="255"/>
        </w:trPr>
        <w:tc>
          <w:tcPr>
            <w:tcW w:w="7502" w:type="dxa"/>
            <w:tcBorders>
              <w:top w:val="dotted" w:sz="4" w:space="0" w:color="auto"/>
              <w:left w:val="dotted" w:sz="4" w:space="0" w:color="auto"/>
              <w:bottom w:val="dotted" w:sz="4" w:space="0" w:color="auto"/>
              <w:right w:val="dotted" w:sz="4" w:space="0" w:color="auto"/>
            </w:tcBorders>
            <w:shd w:val="clear" w:color="auto" w:fill="auto"/>
            <w:noWrap/>
            <w:vAlign w:val="center"/>
          </w:tcPr>
          <w:p w:rsidR="00B2234C" w:rsidRPr="00501C8E" w:rsidRDefault="0056133E" w:rsidP="007A438E">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Financial</w:t>
            </w:r>
            <w:r w:rsidR="00B2234C" w:rsidRPr="00501C8E">
              <w:rPr>
                <w:rStyle w:val="endsenrhsennumparatext"/>
                <w:rFonts w:ascii="Arial" w:hAnsi="Arial" w:cs="Arial"/>
                <w:sz w:val="22"/>
                <w:szCs w:val="22"/>
                <w:lang w:val="en"/>
              </w:rPr>
              <w:t xml:space="preserve"> Services - P/U - VAT review delayed due to staff vacancies</w:t>
            </w:r>
          </w:p>
        </w:tc>
        <w:tc>
          <w:tcPr>
            <w:tcW w:w="1228" w:type="dxa"/>
            <w:tcBorders>
              <w:top w:val="dotted" w:sz="4" w:space="0" w:color="auto"/>
              <w:left w:val="dotted" w:sz="4" w:space="0" w:color="auto"/>
              <w:bottom w:val="dotted" w:sz="4" w:space="0" w:color="auto"/>
              <w:right w:val="dotted" w:sz="4" w:space="0" w:color="auto"/>
            </w:tcBorders>
            <w:shd w:val="clear" w:color="auto" w:fill="auto"/>
            <w:noWrap/>
            <w:vAlign w:val="bottom"/>
          </w:tcPr>
          <w:p w:rsidR="00B2234C" w:rsidRPr="00501C8E" w:rsidRDefault="00B2234C" w:rsidP="007A438E">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5</w:t>
            </w:r>
          </w:p>
        </w:tc>
      </w:tr>
      <w:tr w:rsidR="00B2234C" w:rsidRPr="00501C8E" w:rsidTr="00E15FCF">
        <w:trPr>
          <w:trHeight w:val="255"/>
        </w:trPr>
        <w:tc>
          <w:tcPr>
            <w:tcW w:w="7502" w:type="dxa"/>
            <w:tcBorders>
              <w:top w:val="dotted" w:sz="4" w:space="0" w:color="auto"/>
              <w:left w:val="dotted" w:sz="4" w:space="0" w:color="auto"/>
              <w:bottom w:val="dotted" w:sz="4" w:space="0" w:color="auto"/>
              <w:right w:val="dotted" w:sz="4" w:space="0" w:color="auto"/>
            </w:tcBorders>
            <w:shd w:val="clear" w:color="auto" w:fill="auto"/>
            <w:noWrap/>
            <w:vAlign w:val="center"/>
          </w:tcPr>
          <w:p w:rsidR="00B2234C" w:rsidRPr="00501C8E" w:rsidRDefault="0056133E" w:rsidP="0056133E">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 xml:space="preserve">Financial Services – New payment regulations (PCCI) compliance </w:t>
            </w:r>
          </w:p>
        </w:tc>
        <w:tc>
          <w:tcPr>
            <w:tcW w:w="1228" w:type="dxa"/>
            <w:tcBorders>
              <w:top w:val="dotted" w:sz="4" w:space="0" w:color="auto"/>
              <w:left w:val="dotted" w:sz="4" w:space="0" w:color="auto"/>
              <w:bottom w:val="dotted" w:sz="4" w:space="0" w:color="auto"/>
              <w:right w:val="dotted" w:sz="4" w:space="0" w:color="auto"/>
            </w:tcBorders>
            <w:shd w:val="clear" w:color="auto" w:fill="auto"/>
            <w:noWrap/>
            <w:vAlign w:val="bottom"/>
          </w:tcPr>
          <w:p w:rsidR="00B2234C" w:rsidRPr="00501C8E" w:rsidRDefault="00D53546" w:rsidP="00D53546">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5</w:t>
            </w:r>
          </w:p>
        </w:tc>
      </w:tr>
      <w:tr w:rsidR="00E15FCF" w:rsidRPr="00501C8E" w:rsidTr="00E15FCF">
        <w:trPr>
          <w:trHeight w:val="255"/>
        </w:trPr>
        <w:tc>
          <w:tcPr>
            <w:tcW w:w="7502" w:type="dxa"/>
            <w:tcBorders>
              <w:top w:val="dotted" w:sz="4" w:space="0" w:color="auto"/>
              <w:left w:val="dotted" w:sz="4" w:space="0" w:color="auto"/>
              <w:bottom w:val="dotted" w:sz="4" w:space="0" w:color="auto"/>
              <w:right w:val="dotted" w:sz="4" w:space="0" w:color="auto"/>
            </w:tcBorders>
            <w:shd w:val="clear" w:color="auto" w:fill="auto"/>
            <w:noWrap/>
            <w:vAlign w:val="center"/>
          </w:tcPr>
          <w:p w:rsidR="00E15FCF" w:rsidRPr="00501C8E" w:rsidRDefault="00E15FCF" w:rsidP="00E15FCF">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Financial services - Insurance levy</w:t>
            </w:r>
          </w:p>
        </w:tc>
        <w:tc>
          <w:tcPr>
            <w:tcW w:w="1228" w:type="dxa"/>
            <w:tcBorders>
              <w:top w:val="dotted" w:sz="4" w:space="0" w:color="auto"/>
              <w:left w:val="dotted" w:sz="4" w:space="0" w:color="auto"/>
              <w:bottom w:val="dotted" w:sz="4" w:space="0" w:color="auto"/>
              <w:right w:val="dotted" w:sz="4" w:space="0" w:color="auto"/>
            </w:tcBorders>
            <w:shd w:val="clear" w:color="auto" w:fill="auto"/>
            <w:noWrap/>
            <w:vAlign w:val="bottom"/>
          </w:tcPr>
          <w:p w:rsidR="00E15FCF" w:rsidRPr="00501C8E" w:rsidRDefault="00E15FCF" w:rsidP="00CD0244">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36</w:t>
            </w:r>
          </w:p>
        </w:tc>
      </w:tr>
      <w:tr w:rsidR="006D4D1C" w:rsidRPr="00501C8E" w:rsidTr="00E15FCF">
        <w:trPr>
          <w:trHeight w:val="255"/>
        </w:trPr>
        <w:tc>
          <w:tcPr>
            <w:tcW w:w="7502" w:type="dxa"/>
            <w:tcBorders>
              <w:top w:val="dotted" w:sz="4" w:space="0" w:color="auto"/>
              <w:left w:val="dotted" w:sz="4" w:space="0" w:color="auto"/>
              <w:bottom w:val="dotted" w:sz="4" w:space="0" w:color="auto"/>
              <w:right w:val="dotted" w:sz="4" w:space="0" w:color="auto"/>
            </w:tcBorders>
            <w:shd w:val="clear" w:color="auto" w:fill="auto"/>
            <w:noWrap/>
            <w:vAlign w:val="center"/>
          </w:tcPr>
          <w:p w:rsidR="006D4D1C" w:rsidRPr="00501C8E" w:rsidRDefault="00AA30C3" w:rsidP="00AA30C3">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Computer services – compensation payment</w:t>
            </w:r>
          </w:p>
        </w:tc>
        <w:tc>
          <w:tcPr>
            <w:tcW w:w="1228" w:type="dxa"/>
            <w:tcBorders>
              <w:top w:val="dotted" w:sz="4" w:space="0" w:color="auto"/>
              <w:left w:val="dotted" w:sz="4" w:space="0" w:color="auto"/>
              <w:bottom w:val="dotted" w:sz="4" w:space="0" w:color="auto"/>
              <w:right w:val="dotted" w:sz="4" w:space="0" w:color="auto"/>
            </w:tcBorders>
            <w:shd w:val="clear" w:color="auto" w:fill="auto"/>
            <w:noWrap/>
            <w:vAlign w:val="bottom"/>
          </w:tcPr>
          <w:p w:rsidR="006D4D1C" w:rsidRPr="00501C8E" w:rsidRDefault="00CD0244" w:rsidP="00CD0244">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28</w:t>
            </w:r>
          </w:p>
        </w:tc>
      </w:tr>
      <w:tr w:rsidR="00B2234C" w:rsidRPr="00501C8E" w:rsidTr="00E15FCF">
        <w:trPr>
          <w:trHeight w:val="255"/>
        </w:trPr>
        <w:tc>
          <w:tcPr>
            <w:tcW w:w="7502" w:type="dxa"/>
            <w:tcBorders>
              <w:top w:val="dotted" w:sz="4" w:space="0" w:color="auto"/>
              <w:left w:val="dotted" w:sz="4" w:space="0" w:color="auto"/>
              <w:bottom w:val="dotted" w:sz="4" w:space="0" w:color="auto"/>
              <w:right w:val="dotted" w:sz="4" w:space="0" w:color="auto"/>
            </w:tcBorders>
            <w:shd w:val="clear" w:color="auto" w:fill="auto"/>
            <w:noWrap/>
            <w:vAlign w:val="center"/>
          </w:tcPr>
          <w:p w:rsidR="00B2234C" w:rsidRPr="00501C8E" w:rsidRDefault="00B2234C" w:rsidP="007A438E">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Customer Services - P/U - Consultancy provision required in May 2016</w:t>
            </w:r>
          </w:p>
        </w:tc>
        <w:tc>
          <w:tcPr>
            <w:tcW w:w="1228" w:type="dxa"/>
            <w:tcBorders>
              <w:top w:val="dotted" w:sz="4" w:space="0" w:color="auto"/>
              <w:left w:val="dotted" w:sz="4" w:space="0" w:color="auto"/>
              <w:bottom w:val="dotted" w:sz="4" w:space="0" w:color="auto"/>
              <w:right w:val="dotted" w:sz="4" w:space="0" w:color="auto"/>
            </w:tcBorders>
            <w:shd w:val="clear" w:color="auto" w:fill="auto"/>
            <w:noWrap/>
            <w:vAlign w:val="bottom"/>
          </w:tcPr>
          <w:p w:rsidR="00B2234C" w:rsidRPr="00501C8E" w:rsidRDefault="00B2234C" w:rsidP="007A438E">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10</w:t>
            </w:r>
          </w:p>
        </w:tc>
      </w:tr>
      <w:tr w:rsidR="00A47797" w:rsidRPr="00501C8E" w:rsidTr="00E15FCF">
        <w:trPr>
          <w:trHeight w:val="255"/>
        </w:trPr>
        <w:tc>
          <w:tcPr>
            <w:tcW w:w="7502" w:type="dxa"/>
            <w:shd w:val="clear" w:color="auto" w:fill="auto"/>
            <w:noWrap/>
            <w:vAlign w:val="center"/>
          </w:tcPr>
          <w:p w:rsidR="00A47797" w:rsidRPr="00501C8E" w:rsidRDefault="007A5DEF" w:rsidP="00E15FCF">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 xml:space="preserve">Customer services </w:t>
            </w:r>
            <w:r w:rsidR="0056133E" w:rsidRPr="00501C8E">
              <w:rPr>
                <w:rStyle w:val="endsenrhsennumparatext"/>
                <w:rFonts w:ascii="Arial" w:hAnsi="Arial" w:cs="Arial"/>
                <w:sz w:val="22"/>
                <w:szCs w:val="22"/>
                <w:lang w:val="en"/>
              </w:rPr>
              <w:t>–</w:t>
            </w:r>
            <w:r w:rsidRPr="00501C8E">
              <w:rPr>
                <w:rStyle w:val="endsenrhsennumparatext"/>
                <w:rFonts w:ascii="Arial" w:hAnsi="Arial" w:cs="Arial"/>
                <w:sz w:val="22"/>
                <w:szCs w:val="22"/>
                <w:lang w:val="en"/>
              </w:rPr>
              <w:t xml:space="preserve"> </w:t>
            </w:r>
            <w:r w:rsidR="00E15FCF" w:rsidRPr="00501C8E">
              <w:rPr>
                <w:rStyle w:val="endsenrhsennumparatext"/>
                <w:rFonts w:ascii="Arial" w:hAnsi="Arial" w:cs="Arial"/>
                <w:sz w:val="22"/>
                <w:szCs w:val="22"/>
                <w:lang w:val="en"/>
              </w:rPr>
              <w:t>additional c</w:t>
            </w:r>
            <w:r w:rsidR="0056133E" w:rsidRPr="00501C8E">
              <w:rPr>
                <w:rStyle w:val="endsenrhsennumparatext"/>
                <w:rFonts w:ascii="Arial" w:hAnsi="Arial" w:cs="Arial"/>
                <w:sz w:val="22"/>
                <w:szCs w:val="22"/>
                <w:lang w:val="en"/>
              </w:rPr>
              <w:t>o</w:t>
            </w:r>
            <w:r w:rsidR="00E15FCF" w:rsidRPr="00501C8E">
              <w:rPr>
                <w:rStyle w:val="endsenrhsennumparatext"/>
                <w:rFonts w:ascii="Arial" w:hAnsi="Arial" w:cs="Arial"/>
                <w:sz w:val="22"/>
                <w:szCs w:val="22"/>
                <w:lang w:val="en"/>
              </w:rPr>
              <w:t>nsultancy requirement (CMC July 2016)</w:t>
            </w:r>
          </w:p>
        </w:tc>
        <w:tc>
          <w:tcPr>
            <w:tcW w:w="1228" w:type="dxa"/>
            <w:tcBorders>
              <w:bottom w:val="dotted" w:sz="4" w:space="0" w:color="auto"/>
            </w:tcBorders>
            <w:shd w:val="clear" w:color="auto" w:fill="auto"/>
            <w:noWrap/>
            <w:vAlign w:val="bottom"/>
          </w:tcPr>
          <w:p w:rsidR="00A47797" w:rsidRPr="00501C8E" w:rsidRDefault="00AF6548" w:rsidP="0047566F">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7</w:t>
            </w:r>
            <w:r w:rsidR="007A5DEF" w:rsidRPr="00501C8E">
              <w:rPr>
                <w:rFonts w:ascii="Arial" w:hAnsi="Arial" w:cs="Arial"/>
                <w:sz w:val="22"/>
                <w:szCs w:val="22"/>
                <w:lang w:eastAsia="en-GB"/>
              </w:rPr>
              <w:t>0</w:t>
            </w:r>
          </w:p>
        </w:tc>
      </w:tr>
      <w:tr w:rsidR="00E15FCF" w:rsidRPr="00501C8E" w:rsidTr="00E15FCF">
        <w:trPr>
          <w:trHeight w:val="255"/>
        </w:trPr>
        <w:tc>
          <w:tcPr>
            <w:tcW w:w="7502" w:type="dxa"/>
            <w:shd w:val="clear" w:color="auto" w:fill="auto"/>
            <w:noWrap/>
            <w:vAlign w:val="center"/>
          </w:tcPr>
          <w:p w:rsidR="00E15FCF" w:rsidRPr="00501C8E" w:rsidRDefault="00E15FCF" w:rsidP="000D18FD">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GIS – changes to service</w:t>
            </w:r>
          </w:p>
        </w:tc>
        <w:tc>
          <w:tcPr>
            <w:tcW w:w="1228" w:type="dxa"/>
            <w:tcBorders>
              <w:bottom w:val="dotted" w:sz="4" w:space="0" w:color="auto"/>
            </w:tcBorders>
            <w:shd w:val="clear" w:color="auto" w:fill="auto"/>
            <w:noWrap/>
            <w:vAlign w:val="bottom"/>
          </w:tcPr>
          <w:p w:rsidR="00E15FCF" w:rsidRPr="00501C8E" w:rsidRDefault="00E15FCF" w:rsidP="00E15FCF">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(4)</w:t>
            </w:r>
          </w:p>
        </w:tc>
      </w:tr>
      <w:tr w:rsidR="000D18FD" w:rsidRPr="00501C8E" w:rsidTr="002154E0">
        <w:trPr>
          <w:trHeight w:val="255"/>
        </w:trPr>
        <w:tc>
          <w:tcPr>
            <w:tcW w:w="7502" w:type="dxa"/>
            <w:tcBorders>
              <w:bottom w:val="dotted" w:sz="4" w:space="0" w:color="auto"/>
            </w:tcBorders>
            <w:shd w:val="clear" w:color="auto" w:fill="auto"/>
            <w:noWrap/>
            <w:vAlign w:val="center"/>
          </w:tcPr>
          <w:p w:rsidR="000D18FD" w:rsidRPr="00501C8E" w:rsidRDefault="000D18FD" w:rsidP="000D18FD">
            <w:pPr>
              <w:pStyle w:val="ListParagraph"/>
              <w:numPr>
                <w:ilvl w:val="0"/>
                <w:numId w:val="28"/>
              </w:numPr>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Building services – additional costs recovered</w:t>
            </w:r>
          </w:p>
        </w:tc>
        <w:tc>
          <w:tcPr>
            <w:tcW w:w="1228" w:type="dxa"/>
            <w:tcBorders>
              <w:bottom w:val="single" w:sz="4" w:space="0" w:color="auto"/>
            </w:tcBorders>
            <w:shd w:val="clear" w:color="auto" w:fill="auto"/>
            <w:noWrap/>
            <w:vAlign w:val="bottom"/>
          </w:tcPr>
          <w:p w:rsidR="000D18FD" w:rsidRPr="00501C8E" w:rsidRDefault="009E3A85" w:rsidP="009E3A85">
            <w:pPr>
              <w:tabs>
                <w:tab w:val="left" w:pos="522"/>
              </w:tabs>
              <w:ind w:left="522"/>
              <w:jc w:val="right"/>
              <w:rPr>
                <w:rFonts w:ascii="Arial" w:hAnsi="Arial" w:cs="Arial"/>
                <w:sz w:val="22"/>
                <w:szCs w:val="22"/>
                <w:lang w:eastAsia="en-GB"/>
              </w:rPr>
            </w:pPr>
            <w:r w:rsidRPr="00501C8E">
              <w:rPr>
                <w:rFonts w:ascii="Arial" w:hAnsi="Arial" w:cs="Arial"/>
                <w:sz w:val="22"/>
                <w:szCs w:val="22"/>
                <w:lang w:eastAsia="en-GB"/>
              </w:rPr>
              <w:t>(8)</w:t>
            </w:r>
          </w:p>
        </w:tc>
      </w:tr>
      <w:tr w:rsidR="00381291" w:rsidRPr="00501C8E" w:rsidTr="002154E0">
        <w:trPr>
          <w:trHeight w:val="255"/>
        </w:trPr>
        <w:tc>
          <w:tcPr>
            <w:tcW w:w="7502" w:type="dxa"/>
            <w:shd w:val="pct10" w:color="auto" w:fill="auto"/>
            <w:noWrap/>
            <w:vAlign w:val="bottom"/>
          </w:tcPr>
          <w:p w:rsidR="00381291" w:rsidRPr="00501C8E" w:rsidRDefault="00A57974" w:rsidP="002154E0">
            <w:pPr>
              <w:tabs>
                <w:tab w:val="left" w:pos="522"/>
              </w:tabs>
              <w:rPr>
                <w:rStyle w:val="endsenrhsennumparatext"/>
                <w:rFonts w:ascii="Arial" w:hAnsi="Arial" w:cs="Arial"/>
                <w:b/>
                <w:sz w:val="22"/>
                <w:szCs w:val="22"/>
                <w:lang w:val="en"/>
              </w:rPr>
            </w:pPr>
            <w:r w:rsidRPr="00501C8E">
              <w:rPr>
                <w:rStyle w:val="endsenrhsennumparatext"/>
                <w:rFonts w:ascii="Arial" w:hAnsi="Arial" w:cs="Arial"/>
                <w:b/>
                <w:sz w:val="22"/>
                <w:szCs w:val="22"/>
                <w:lang w:val="en"/>
              </w:rPr>
              <w:t>S</w:t>
            </w:r>
            <w:r w:rsidR="002154E0" w:rsidRPr="00501C8E">
              <w:rPr>
                <w:rStyle w:val="endsenrhsennumparatext"/>
                <w:rFonts w:ascii="Arial" w:hAnsi="Arial" w:cs="Arial"/>
                <w:b/>
                <w:sz w:val="22"/>
                <w:szCs w:val="22"/>
                <w:lang w:val="en"/>
              </w:rPr>
              <w:t>ub Total –</w:t>
            </w:r>
            <w:r w:rsidRPr="00501C8E">
              <w:rPr>
                <w:rStyle w:val="endsenrhsennumparatext"/>
                <w:rFonts w:ascii="Arial" w:hAnsi="Arial" w:cs="Arial"/>
                <w:b/>
                <w:sz w:val="22"/>
                <w:szCs w:val="22"/>
                <w:lang w:val="en"/>
              </w:rPr>
              <w:t xml:space="preserve"> G</w:t>
            </w:r>
            <w:r w:rsidR="002154E0" w:rsidRPr="00501C8E">
              <w:rPr>
                <w:rStyle w:val="endsenrhsennumparatext"/>
                <w:rFonts w:ascii="Arial" w:hAnsi="Arial" w:cs="Arial"/>
                <w:b/>
                <w:sz w:val="22"/>
                <w:szCs w:val="22"/>
                <w:lang w:val="en"/>
              </w:rPr>
              <w:t>eneral Fund net growth (Excluding Commercial Property)</w:t>
            </w:r>
          </w:p>
        </w:tc>
        <w:tc>
          <w:tcPr>
            <w:tcW w:w="1228" w:type="dxa"/>
            <w:tcBorders>
              <w:top w:val="single" w:sz="4" w:space="0" w:color="auto"/>
              <w:bottom w:val="single" w:sz="4" w:space="0" w:color="auto"/>
            </w:tcBorders>
            <w:shd w:val="pct10" w:color="auto" w:fill="auto"/>
            <w:noWrap/>
            <w:vAlign w:val="bottom"/>
          </w:tcPr>
          <w:p w:rsidR="00381291" w:rsidRPr="00501C8E" w:rsidRDefault="00C759E4" w:rsidP="005756A0">
            <w:pPr>
              <w:tabs>
                <w:tab w:val="left" w:pos="720"/>
              </w:tabs>
              <w:ind w:left="720" w:hanging="720"/>
              <w:jc w:val="right"/>
              <w:rPr>
                <w:rFonts w:ascii="Arial" w:hAnsi="Arial" w:cs="Arial"/>
                <w:b/>
                <w:sz w:val="22"/>
                <w:szCs w:val="22"/>
                <w:lang w:eastAsia="en-GB"/>
              </w:rPr>
            </w:pPr>
            <w:r w:rsidRPr="00501C8E">
              <w:rPr>
                <w:rFonts w:ascii="Arial" w:hAnsi="Arial" w:cs="Arial"/>
                <w:b/>
                <w:sz w:val="22"/>
                <w:szCs w:val="22"/>
                <w:lang w:eastAsia="en-GB"/>
              </w:rPr>
              <w:t>9</w:t>
            </w:r>
            <w:r w:rsidR="005756A0" w:rsidRPr="00501C8E">
              <w:rPr>
                <w:rFonts w:ascii="Arial" w:hAnsi="Arial" w:cs="Arial"/>
                <w:b/>
                <w:sz w:val="22"/>
                <w:szCs w:val="22"/>
                <w:lang w:eastAsia="en-GB"/>
              </w:rPr>
              <w:t>22</w:t>
            </w:r>
          </w:p>
        </w:tc>
      </w:tr>
      <w:tr w:rsidR="00CF10DA" w:rsidRPr="00501C8E" w:rsidTr="002154E0">
        <w:trPr>
          <w:trHeight w:val="255"/>
        </w:trPr>
        <w:tc>
          <w:tcPr>
            <w:tcW w:w="7502" w:type="dxa"/>
            <w:shd w:val="clear" w:color="auto" w:fill="auto"/>
            <w:noWrap/>
            <w:vAlign w:val="bottom"/>
          </w:tcPr>
          <w:p w:rsidR="00CF10DA" w:rsidRPr="00501C8E" w:rsidRDefault="00CF10DA" w:rsidP="007A438E">
            <w:pPr>
              <w:tabs>
                <w:tab w:val="left" w:pos="522"/>
              </w:tabs>
              <w:ind w:left="162"/>
              <w:rPr>
                <w:rStyle w:val="endsenrhsennumparatext"/>
                <w:rFonts w:ascii="Arial" w:hAnsi="Arial" w:cs="Arial"/>
                <w:sz w:val="22"/>
                <w:szCs w:val="22"/>
                <w:lang w:val="en"/>
              </w:rPr>
            </w:pPr>
          </w:p>
        </w:tc>
        <w:tc>
          <w:tcPr>
            <w:tcW w:w="1228" w:type="dxa"/>
            <w:tcBorders>
              <w:top w:val="single" w:sz="4" w:space="0" w:color="auto"/>
              <w:bottom w:val="dotted" w:sz="4" w:space="0" w:color="auto"/>
            </w:tcBorders>
            <w:shd w:val="clear" w:color="auto" w:fill="auto"/>
            <w:noWrap/>
            <w:vAlign w:val="bottom"/>
          </w:tcPr>
          <w:p w:rsidR="00CF10DA" w:rsidRPr="00501C8E" w:rsidRDefault="00CF10DA" w:rsidP="0047566F">
            <w:pPr>
              <w:tabs>
                <w:tab w:val="left" w:pos="720"/>
              </w:tabs>
              <w:ind w:left="720" w:hanging="720"/>
              <w:jc w:val="right"/>
              <w:rPr>
                <w:rFonts w:ascii="Arial" w:hAnsi="Arial" w:cs="Arial"/>
                <w:sz w:val="22"/>
                <w:szCs w:val="22"/>
                <w:lang w:eastAsia="en-GB"/>
              </w:rPr>
            </w:pPr>
          </w:p>
        </w:tc>
      </w:tr>
      <w:tr w:rsidR="00CF10DA" w:rsidRPr="00501C8E" w:rsidTr="00E15FCF">
        <w:trPr>
          <w:trHeight w:val="255"/>
        </w:trPr>
        <w:tc>
          <w:tcPr>
            <w:tcW w:w="7502" w:type="dxa"/>
            <w:shd w:val="clear" w:color="auto" w:fill="auto"/>
            <w:noWrap/>
            <w:vAlign w:val="bottom"/>
          </w:tcPr>
          <w:p w:rsidR="00CF10DA" w:rsidRPr="00501C8E" w:rsidRDefault="00CF10DA" w:rsidP="007A438E">
            <w:pPr>
              <w:tabs>
                <w:tab w:val="left" w:pos="522"/>
              </w:tabs>
              <w:ind w:left="162"/>
              <w:rPr>
                <w:rStyle w:val="endsenrhsennumparatext"/>
                <w:rFonts w:ascii="Arial" w:hAnsi="Arial" w:cs="Arial"/>
                <w:b/>
                <w:sz w:val="22"/>
                <w:szCs w:val="22"/>
                <w:lang w:val="en"/>
              </w:rPr>
            </w:pPr>
            <w:r w:rsidRPr="00501C8E">
              <w:rPr>
                <w:rStyle w:val="endsenrhsennumparatext"/>
                <w:rFonts w:ascii="Arial" w:hAnsi="Arial" w:cs="Arial"/>
                <w:b/>
                <w:sz w:val="22"/>
                <w:szCs w:val="22"/>
                <w:lang w:val="en"/>
              </w:rPr>
              <w:t xml:space="preserve">Corporate Management Committee – </w:t>
            </w:r>
            <w:r w:rsidR="002154E0" w:rsidRPr="00501C8E">
              <w:rPr>
                <w:rStyle w:val="endsenrhsennumparatext"/>
                <w:rFonts w:ascii="Arial" w:hAnsi="Arial" w:cs="Arial"/>
                <w:b/>
                <w:sz w:val="22"/>
                <w:szCs w:val="22"/>
                <w:lang w:val="en"/>
              </w:rPr>
              <w:t xml:space="preserve">Commercial </w:t>
            </w:r>
            <w:r w:rsidRPr="00501C8E">
              <w:rPr>
                <w:rStyle w:val="endsenrhsennumparatext"/>
                <w:rFonts w:ascii="Arial" w:hAnsi="Arial" w:cs="Arial"/>
                <w:b/>
                <w:sz w:val="22"/>
                <w:szCs w:val="22"/>
                <w:lang w:val="en"/>
              </w:rPr>
              <w:t>Property related</w:t>
            </w:r>
          </w:p>
        </w:tc>
        <w:tc>
          <w:tcPr>
            <w:tcW w:w="1228" w:type="dxa"/>
            <w:tcBorders>
              <w:bottom w:val="dotted" w:sz="4" w:space="0" w:color="auto"/>
            </w:tcBorders>
            <w:shd w:val="clear" w:color="auto" w:fill="auto"/>
            <w:noWrap/>
            <w:vAlign w:val="bottom"/>
          </w:tcPr>
          <w:p w:rsidR="00CF10DA" w:rsidRPr="00501C8E" w:rsidRDefault="00CF10DA" w:rsidP="0047566F">
            <w:pPr>
              <w:tabs>
                <w:tab w:val="left" w:pos="720"/>
              </w:tabs>
              <w:ind w:left="720" w:hanging="720"/>
              <w:jc w:val="right"/>
              <w:rPr>
                <w:rFonts w:ascii="Arial" w:hAnsi="Arial" w:cs="Arial"/>
                <w:b/>
                <w:sz w:val="22"/>
                <w:szCs w:val="22"/>
                <w:lang w:eastAsia="en-GB"/>
              </w:rPr>
            </w:pPr>
          </w:p>
        </w:tc>
      </w:tr>
      <w:tr w:rsidR="00195087" w:rsidRPr="00501C8E" w:rsidTr="002B2508">
        <w:trPr>
          <w:trHeight w:val="255"/>
        </w:trPr>
        <w:tc>
          <w:tcPr>
            <w:tcW w:w="7502" w:type="dxa"/>
            <w:shd w:val="clear" w:color="auto" w:fill="auto"/>
            <w:noWrap/>
            <w:vAlign w:val="bottom"/>
          </w:tcPr>
          <w:p w:rsidR="00195087" w:rsidRPr="00501C8E" w:rsidRDefault="00195087" w:rsidP="002B2508">
            <w:pPr>
              <w:numPr>
                <w:ilvl w:val="0"/>
                <w:numId w:val="6"/>
              </w:numPr>
              <w:tabs>
                <w:tab w:val="clear" w:pos="1440"/>
                <w:tab w:val="left" w:pos="522"/>
              </w:tabs>
              <w:ind w:left="522"/>
              <w:rPr>
                <w:rFonts w:ascii="Arial" w:hAnsi="Arial" w:cs="Arial"/>
                <w:sz w:val="22"/>
                <w:szCs w:val="22"/>
                <w:lang w:eastAsia="en-GB"/>
              </w:rPr>
            </w:pPr>
            <w:r w:rsidRPr="00501C8E">
              <w:rPr>
                <w:rFonts w:ascii="Arial" w:hAnsi="Arial" w:cs="Arial"/>
                <w:sz w:val="22"/>
                <w:szCs w:val="22"/>
                <w:lang w:eastAsia="en-GB"/>
              </w:rPr>
              <w:t xml:space="preserve">Bourne Car Park sale – compensation received </w:t>
            </w:r>
          </w:p>
        </w:tc>
        <w:tc>
          <w:tcPr>
            <w:tcW w:w="1228" w:type="dxa"/>
            <w:tcBorders>
              <w:bottom w:val="dotted" w:sz="4" w:space="0" w:color="auto"/>
            </w:tcBorders>
            <w:shd w:val="clear" w:color="auto" w:fill="auto"/>
            <w:noWrap/>
            <w:vAlign w:val="bottom"/>
          </w:tcPr>
          <w:p w:rsidR="00195087" w:rsidRPr="00501C8E" w:rsidRDefault="00195087" w:rsidP="002B2508">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(68)</w:t>
            </w:r>
          </w:p>
        </w:tc>
      </w:tr>
      <w:tr w:rsidR="000D18FD" w:rsidRPr="00501C8E" w:rsidTr="00E15FCF">
        <w:trPr>
          <w:trHeight w:val="255"/>
        </w:trPr>
        <w:tc>
          <w:tcPr>
            <w:tcW w:w="7502" w:type="dxa"/>
            <w:shd w:val="clear" w:color="auto" w:fill="auto"/>
            <w:noWrap/>
            <w:vAlign w:val="bottom"/>
          </w:tcPr>
          <w:p w:rsidR="000D18FD" w:rsidRPr="00501C8E" w:rsidRDefault="00305A0A" w:rsidP="00195087">
            <w:pPr>
              <w:numPr>
                <w:ilvl w:val="0"/>
                <w:numId w:val="6"/>
              </w:numPr>
              <w:tabs>
                <w:tab w:val="clear" w:pos="1440"/>
                <w:tab w:val="left" w:pos="522"/>
              </w:tabs>
              <w:ind w:left="522"/>
              <w:rPr>
                <w:rFonts w:ascii="Arial" w:hAnsi="Arial" w:cs="Arial"/>
                <w:sz w:val="22"/>
                <w:szCs w:val="22"/>
                <w:lang w:eastAsia="en-GB"/>
              </w:rPr>
            </w:pPr>
            <w:r w:rsidRPr="00501C8E">
              <w:rPr>
                <w:rFonts w:ascii="Arial" w:hAnsi="Arial" w:cs="Arial"/>
                <w:sz w:val="22"/>
                <w:szCs w:val="22"/>
                <w:lang w:eastAsia="en-GB"/>
              </w:rPr>
              <w:t xml:space="preserve">Addlestone One </w:t>
            </w:r>
            <w:r w:rsidR="00195087" w:rsidRPr="00501C8E">
              <w:rPr>
                <w:rFonts w:ascii="Arial" w:hAnsi="Arial" w:cs="Arial"/>
                <w:sz w:val="22"/>
                <w:szCs w:val="22"/>
                <w:lang w:eastAsia="en-GB"/>
              </w:rPr>
              <w:t>Flats – costs of selling to be capitalised in 2017/18</w:t>
            </w:r>
            <w:r w:rsidR="00C562DB" w:rsidRPr="00501C8E">
              <w:rPr>
                <w:rFonts w:ascii="Arial" w:hAnsi="Arial" w:cs="Arial"/>
                <w:sz w:val="22"/>
                <w:szCs w:val="22"/>
                <w:lang w:eastAsia="en-GB"/>
              </w:rPr>
              <w:t xml:space="preserve"> to offset capital receipt</w:t>
            </w:r>
            <w:r w:rsidRPr="00501C8E">
              <w:rPr>
                <w:rFonts w:ascii="Arial" w:hAnsi="Arial" w:cs="Arial"/>
                <w:sz w:val="22"/>
                <w:szCs w:val="22"/>
                <w:lang w:eastAsia="en-GB"/>
              </w:rPr>
              <w:t xml:space="preserve"> (assuming External Audit approval)</w:t>
            </w:r>
          </w:p>
        </w:tc>
        <w:tc>
          <w:tcPr>
            <w:tcW w:w="1228" w:type="dxa"/>
            <w:tcBorders>
              <w:bottom w:val="dotted" w:sz="4" w:space="0" w:color="auto"/>
            </w:tcBorders>
            <w:shd w:val="clear" w:color="auto" w:fill="auto"/>
            <w:noWrap/>
            <w:vAlign w:val="bottom"/>
          </w:tcPr>
          <w:p w:rsidR="000D18FD" w:rsidRPr="00501C8E" w:rsidRDefault="00195087" w:rsidP="00305A0A">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1</w:t>
            </w:r>
            <w:r w:rsidR="00305A0A" w:rsidRPr="00501C8E">
              <w:rPr>
                <w:rFonts w:ascii="Arial" w:hAnsi="Arial" w:cs="Arial"/>
                <w:sz w:val="22"/>
                <w:szCs w:val="22"/>
                <w:lang w:eastAsia="en-GB"/>
              </w:rPr>
              <w:t>6</w:t>
            </w:r>
            <w:r w:rsidRPr="00501C8E">
              <w:rPr>
                <w:rFonts w:ascii="Arial" w:hAnsi="Arial" w:cs="Arial"/>
                <w:sz w:val="22"/>
                <w:szCs w:val="22"/>
                <w:lang w:eastAsia="en-GB"/>
              </w:rPr>
              <w:t>0</w:t>
            </w:r>
          </w:p>
        </w:tc>
      </w:tr>
      <w:tr w:rsidR="00305A0A" w:rsidRPr="00501C8E" w:rsidTr="00305A0A">
        <w:trPr>
          <w:trHeight w:val="255"/>
        </w:trPr>
        <w:tc>
          <w:tcPr>
            <w:tcW w:w="7502" w:type="dxa"/>
            <w:shd w:val="clear" w:color="auto" w:fill="auto"/>
            <w:noWrap/>
            <w:vAlign w:val="bottom"/>
          </w:tcPr>
          <w:p w:rsidR="00305A0A" w:rsidRPr="00501C8E" w:rsidRDefault="00305A0A" w:rsidP="00305A0A">
            <w:pPr>
              <w:numPr>
                <w:ilvl w:val="0"/>
                <w:numId w:val="6"/>
              </w:numPr>
              <w:tabs>
                <w:tab w:val="clear" w:pos="1440"/>
                <w:tab w:val="left" w:pos="522"/>
              </w:tabs>
              <w:ind w:left="522"/>
              <w:rPr>
                <w:rFonts w:ascii="Arial" w:hAnsi="Arial" w:cs="Arial"/>
                <w:sz w:val="22"/>
                <w:szCs w:val="22"/>
                <w:lang w:eastAsia="en-GB"/>
              </w:rPr>
            </w:pPr>
            <w:r w:rsidRPr="00501C8E">
              <w:rPr>
                <w:rFonts w:ascii="Arial" w:hAnsi="Arial" w:cs="Arial"/>
                <w:sz w:val="22"/>
                <w:szCs w:val="22"/>
                <w:lang w:eastAsia="en-GB"/>
              </w:rPr>
              <w:t>Ashdene and Marshall Place – preliminary costs of schemes to be capitalised in 2017/18 (assuming schemes progress and External Audit approval)</w:t>
            </w:r>
          </w:p>
        </w:tc>
        <w:tc>
          <w:tcPr>
            <w:tcW w:w="1228" w:type="dxa"/>
            <w:tcBorders>
              <w:bottom w:val="dotted" w:sz="4" w:space="0" w:color="auto"/>
            </w:tcBorders>
            <w:shd w:val="clear" w:color="auto" w:fill="auto"/>
            <w:noWrap/>
            <w:vAlign w:val="bottom"/>
          </w:tcPr>
          <w:p w:rsidR="00305A0A" w:rsidRPr="00501C8E" w:rsidRDefault="00305A0A" w:rsidP="00305A0A">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113</w:t>
            </w:r>
          </w:p>
        </w:tc>
      </w:tr>
      <w:tr w:rsidR="00AA30C3" w:rsidRPr="00501C8E" w:rsidTr="00E15FCF">
        <w:trPr>
          <w:trHeight w:val="255"/>
        </w:trPr>
        <w:tc>
          <w:tcPr>
            <w:tcW w:w="7502" w:type="dxa"/>
            <w:shd w:val="clear" w:color="auto" w:fill="auto"/>
            <w:noWrap/>
            <w:vAlign w:val="bottom"/>
          </w:tcPr>
          <w:p w:rsidR="00AA30C3" w:rsidRPr="00501C8E" w:rsidRDefault="00E15FCF" w:rsidP="00195087">
            <w:pPr>
              <w:numPr>
                <w:ilvl w:val="0"/>
                <w:numId w:val="6"/>
              </w:numPr>
              <w:tabs>
                <w:tab w:val="clear" w:pos="1440"/>
                <w:tab w:val="left" w:pos="522"/>
              </w:tabs>
              <w:ind w:left="522"/>
              <w:rPr>
                <w:rFonts w:ascii="Arial" w:hAnsi="Arial" w:cs="Arial"/>
                <w:sz w:val="22"/>
                <w:szCs w:val="22"/>
                <w:lang w:eastAsia="en-GB"/>
              </w:rPr>
            </w:pPr>
            <w:r w:rsidRPr="00501C8E">
              <w:rPr>
                <w:rFonts w:ascii="Arial" w:hAnsi="Arial" w:cs="Arial"/>
                <w:sz w:val="22"/>
                <w:szCs w:val="22"/>
                <w:lang w:eastAsia="en-GB"/>
              </w:rPr>
              <w:t xml:space="preserve">Rental income </w:t>
            </w:r>
            <w:r w:rsidR="00195087" w:rsidRPr="00501C8E">
              <w:rPr>
                <w:rFonts w:ascii="Arial" w:hAnsi="Arial" w:cs="Arial"/>
                <w:sz w:val="22"/>
                <w:szCs w:val="22"/>
                <w:lang w:eastAsia="en-GB"/>
              </w:rPr>
              <w:t xml:space="preserve">– variation in </w:t>
            </w:r>
            <w:r w:rsidRPr="00501C8E">
              <w:rPr>
                <w:rFonts w:ascii="Arial" w:hAnsi="Arial" w:cs="Arial"/>
                <w:sz w:val="22"/>
                <w:szCs w:val="22"/>
                <w:lang w:eastAsia="en-GB"/>
              </w:rPr>
              <w:t xml:space="preserve">current portfolio including </w:t>
            </w:r>
            <w:r w:rsidR="00D171A3" w:rsidRPr="00501C8E">
              <w:rPr>
                <w:rFonts w:ascii="Arial" w:hAnsi="Arial" w:cs="Arial"/>
                <w:sz w:val="22"/>
                <w:szCs w:val="22"/>
                <w:lang w:eastAsia="en-GB"/>
              </w:rPr>
              <w:t>target income of £120k</w:t>
            </w:r>
          </w:p>
        </w:tc>
        <w:tc>
          <w:tcPr>
            <w:tcW w:w="1228" w:type="dxa"/>
            <w:tcBorders>
              <w:bottom w:val="dotted" w:sz="4" w:space="0" w:color="auto"/>
            </w:tcBorders>
            <w:shd w:val="clear" w:color="auto" w:fill="auto"/>
            <w:noWrap/>
            <w:vAlign w:val="bottom"/>
          </w:tcPr>
          <w:p w:rsidR="00AA30C3" w:rsidRPr="00501C8E" w:rsidRDefault="00195087" w:rsidP="00195087">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16</w:t>
            </w:r>
            <w:r w:rsidR="00E15FCF" w:rsidRPr="00501C8E">
              <w:rPr>
                <w:rFonts w:ascii="Arial" w:hAnsi="Arial" w:cs="Arial"/>
                <w:sz w:val="22"/>
                <w:szCs w:val="22"/>
                <w:lang w:eastAsia="en-GB"/>
              </w:rPr>
              <w:t>9</w:t>
            </w:r>
          </w:p>
        </w:tc>
      </w:tr>
      <w:tr w:rsidR="00147742" w:rsidRPr="00501C8E" w:rsidTr="002154E0">
        <w:trPr>
          <w:trHeight w:val="255"/>
        </w:trPr>
        <w:tc>
          <w:tcPr>
            <w:tcW w:w="7502" w:type="dxa"/>
            <w:tcBorders>
              <w:bottom w:val="dotted" w:sz="4" w:space="0" w:color="auto"/>
            </w:tcBorders>
            <w:shd w:val="clear" w:color="auto" w:fill="auto"/>
            <w:noWrap/>
            <w:vAlign w:val="bottom"/>
          </w:tcPr>
          <w:p w:rsidR="00147742" w:rsidRPr="00501C8E" w:rsidRDefault="00147742" w:rsidP="00195087">
            <w:pPr>
              <w:numPr>
                <w:ilvl w:val="0"/>
                <w:numId w:val="6"/>
              </w:numPr>
              <w:tabs>
                <w:tab w:val="clear" w:pos="1440"/>
                <w:tab w:val="left" w:pos="522"/>
              </w:tabs>
              <w:ind w:left="522"/>
              <w:rPr>
                <w:rFonts w:ascii="Arial" w:hAnsi="Arial" w:cs="Arial"/>
                <w:sz w:val="22"/>
                <w:szCs w:val="22"/>
                <w:lang w:eastAsia="en-GB"/>
              </w:rPr>
            </w:pPr>
            <w:r w:rsidRPr="00501C8E">
              <w:rPr>
                <w:rFonts w:ascii="Arial" w:hAnsi="Arial" w:cs="Arial"/>
                <w:sz w:val="22"/>
                <w:szCs w:val="22"/>
                <w:lang w:eastAsia="en-GB"/>
              </w:rPr>
              <w:t>New rental income</w:t>
            </w:r>
            <w:r w:rsidR="00C5198C" w:rsidRPr="00501C8E">
              <w:rPr>
                <w:rFonts w:ascii="Arial" w:hAnsi="Arial" w:cs="Arial"/>
                <w:sz w:val="22"/>
                <w:szCs w:val="22"/>
                <w:lang w:eastAsia="en-GB"/>
              </w:rPr>
              <w:t xml:space="preserve"> </w:t>
            </w:r>
            <w:r w:rsidR="00195087" w:rsidRPr="00501C8E">
              <w:rPr>
                <w:rFonts w:ascii="Arial" w:hAnsi="Arial" w:cs="Arial"/>
                <w:sz w:val="22"/>
                <w:szCs w:val="22"/>
                <w:lang w:eastAsia="en-GB"/>
              </w:rPr>
              <w:t>to cover target above</w:t>
            </w:r>
            <w:r w:rsidRPr="00501C8E">
              <w:rPr>
                <w:rFonts w:ascii="Arial" w:hAnsi="Arial" w:cs="Arial"/>
                <w:sz w:val="22"/>
                <w:szCs w:val="22"/>
                <w:lang w:eastAsia="en-GB"/>
              </w:rPr>
              <w:t xml:space="preserve"> – </w:t>
            </w:r>
            <w:r w:rsidR="00C5198C" w:rsidRPr="00501C8E">
              <w:rPr>
                <w:rFonts w:ascii="Arial" w:hAnsi="Arial" w:cs="Arial"/>
                <w:sz w:val="22"/>
                <w:szCs w:val="22"/>
                <w:lang w:eastAsia="en-GB"/>
              </w:rPr>
              <w:t>various properties</w:t>
            </w:r>
          </w:p>
        </w:tc>
        <w:tc>
          <w:tcPr>
            <w:tcW w:w="1228" w:type="dxa"/>
            <w:tcBorders>
              <w:bottom w:val="single" w:sz="4" w:space="0" w:color="auto"/>
            </w:tcBorders>
            <w:shd w:val="clear" w:color="auto" w:fill="auto"/>
            <w:noWrap/>
            <w:vAlign w:val="bottom"/>
          </w:tcPr>
          <w:p w:rsidR="00147742" w:rsidRPr="00501C8E" w:rsidRDefault="00147742" w:rsidP="00195087">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w:t>
            </w:r>
            <w:r w:rsidR="00C5198C" w:rsidRPr="00501C8E">
              <w:rPr>
                <w:rFonts w:ascii="Arial" w:hAnsi="Arial" w:cs="Arial"/>
                <w:sz w:val="22"/>
                <w:szCs w:val="22"/>
                <w:lang w:eastAsia="en-GB"/>
              </w:rPr>
              <w:t>1,</w:t>
            </w:r>
            <w:r w:rsidR="00195087" w:rsidRPr="00501C8E">
              <w:rPr>
                <w:rFonts w:ascii="Arial" w:hAnsi="Arial" w:cs="Arial"/>
                <w:sz w:val="22"/>
                <w:szCs w:val="22"/>
                <w:lang w:eastAsia="en-GB"/>
              </w:rPr>
              <w:t>178</w:t>
            </w:r>
            <w:r w:rsidRPr="00501C8E">
              <w:rPr>
                <w:rFonts w:ascii="Arial" w:hAnsi="Arial" w:cs="Arial"/>
                <w:sz w:val="22"/>
                <w:szCs w:val="22"/>
                <w:lang w:eastAsia="en-GB"/>
              </w:rPr>
              <w:t>)</w:t>
            </w:r>
          </w:p>
        </w:tc>
      </w:tr>
      <w:tr w:rsidR="00776257" w:rsidRPr="00501C8E" w:rsidTr="002154E0">
        <w:trPr>
          <w:trHeight w:val="255"/>
        </w:trPr>
        <w:tc>
          <w:tcPr>
            <w:tcW w:w="7502" w:type="dxa"/>
            <w:shd w:val="pct10" w:color="auto" w:fill="auto"/>
            <w:noWrap/>
            <w:vAlign w:val="bottom"/>
          </w:tcPr>
          <w:p w:rsidR="00776257" w:rsidRPr="00501C8E" w:rsidRDefault="002154E0" w:rsidP="002154E0">
            <w:pPr>
              <w:tabs>
                <w:tab w:val="left" w:pos="522"/>
              </w:tabs>
              <w:rPr>
                <w:rStyle w:val="endsenrhsennumparatext"/>
                <w:rFonts w:ascii="Arial" w:hAnsi="Arial" w:cs="Arial"/>
                <w:b/>
                <w:sz w:val="22"/>
                <w:szCs w:val="22"/>
                <w:lang w:val="en"/>
              </w:rPr>
            </w:pPr>
            <w:r w:rsidRPr="00501C8E">
              <w:rPr>
                <w:rStyle w:val="endsenrhsennumparatext"/>
                <w:rFonts w:ascii="Arial" w:hAnsi="Arial" w:cs="Arial"/>
                <w:b/>
                <w:sz w:val="22"/>
                <w:szCs w:val="22"/>
                <w:lang w:val="en"/>
              </w:rPr>
              <w:t>Sub Total – Commercial Property</w:t>
            </w:r>
          </w:p>
        </w:tc>
        <w:tc>
          <w:tcPr>
            <w:tcW w:w="1228" w:type="dxa"/>
            <w:tcBorders>
              <w:top w:val="single" w:sz="4" w:space="0" w:color="auto"/>
              <w:bottom w:val="single" w:sz="4" w:space="0" w:color="auto"/>
            </w:tcBorders>
            <w:shd w:val="pct10" w:color="auto" w:fill="auto"/>
            <w:noWrap/>
            <w:vAlign w:val="bottom"/>
          </w:tcPr>
          <w:p w:rsidR="00776257" w:rsidRPr="00501C8E" w:rsidRDefault="00A57974" w:rsidP="007A438E">
            <w:pPr>
              <w:tabs>
                <w:tab w:val="left" w:pos="720"/>
              </w:tabs>
              <w:ind w:left="720" w:hanging="720"/>
              <w:jc w:val="right"/>
              <w:rPr>
                <w:rFonts w:ascii="Arial" w:hAnsi="Arial" w:cs="Arial"/>
                <w:b/>
                <w:sz w:val="22"/>
                <w:szCs w:val="22"/>
                <w:lang w:eastAsia="en-GB"/>
              </w:rPr>
            </w:pPr>
            <w:r w:rsidRPr="00501C8E">
              <w:rPr>
                <w:rFonts w:ascii="Arial" w:hAnsi="Arial" w:cs="Arial"/>
                <w:b/>
                <w:sz w:val="22"/>
                <w:szCs w:val="22"/>
                <w:lang w:eastAsia="en-GB"/>
              </w:rPr>
              <w:t>(804)</w:t>
            </w:r>
          </w:p>
        </w:tc>
      </w:tr>
      <w:tr w:rsidR="002154E0" w:rsidRPr="00501C8E" w:rsidTr="002154E0">
        <w:trPr>
          <w:trHeight w:val="255"/>
        </w:trPr>
        <w:tc>
          <w:tcPr>
            <w:tcW w:w="7502" w:type="dxa"/>
            <w:tcBorders>
              <w:bottom w:val="single" w:sz="4" w:space="0" w:color="auto"/>
            </w:tcBorders>
            <w:shd w:val="clear" w:color="auto" w:fill="auto"/>
            <w:noWrap/>
            <w:vAlign w:val="bottom"/>
          </w:tcPr>
          <w:p w:rsidR="002154E0" w:rsidRPr="00501C8E" w:rsidRDefault="002154E0" w:rsidP="007A438E">
            <w:pPr>
              <w:tabs>
                <w:tab w:val="left" w:pos="522"/>
              </w:tabs>
              <w:ind w:left="162"/>
              <w:rPr>
                <w:rStyle w:val="endsenrhsennumparatext"/>
                <w:rFonts w:ascii="Arial" w:hAnsi="Arial" w:cs="Arial"/>
                <w:b/>
                <w:sz w:val="22"/>
                <w:szCs w:val="22"/>
                <w:lang w:val="en"/>
              </w:rPr>
            </w:pPr>
          </w:p>
        </w:tc>
        <w:tc>
          <w:tcPr>
            <w:tcW w:w="1228" w:type="dxa"/>
            <w:tcBorders>
              <w:top w:val="single" w:sz="4" w:space="0" w:color="auto"/>
              <w:bottom w:val="single" w:sz="4" w:space="0" w:color="auto"/>
            </w:tcBorders>
            <w:shd w:val="clear" w:color="auto" w:fill="auto"/>
            <w:noWrap/>
            <w:vAlign w:val="bottom"/>
          </w:tcPr>
          <w:p w:rsidR="002154E0" w:rsidRPr="00501C8E" w:rsidRDefault="002154E0" w:rsidP="007A438E">
            <w:pPr>
              <w:tabs>
                <w:tab w:val="left" w:pos="720"/>
              </w:tabs>
              <w:ind w:left="720" w:hanging="720"/>
              <w:jc w:val="right"/>
              <w:rPr>
                <w:rFonts w:ascii="Arial" w:hAnsi="Arial" w:cs="Arial"/>
                <w:b/>
                <w:sz w:val="22"/>
                <w:szCs w:val="22"/>
                <w:lang w:eastAsia="en-GB"/>
              </w:rPr>
            </w:pPr>
          </w:p>
        </w:tc>
      </w:tr>
      <w:tr w:rsidR="00735929" w:rsidRPr="00501C8E" w:rsidTr="002154E0">
        <w:trPr>
          <w:trHeight w:val="255"/>
        </w:trPr>
        <w:tc>
          <w:tcPr>
            <w:tcW w:w="7502" w:type="dxa"/>
            <w:tcBorders>
              <w:top w:val="single" w:sz="4" w:space="0" w:color="auto"/>
              <w:bottom w:val="single" w:sz="4" w:space="0" w:color="auto"/>
            </w:tcBorders>
            <w:shd w:val="pct10" w:color="auto" w:fill="auto"/>
            <w:noWrap/>
            <w:vAlign w:val="center"/>
          </w:tcPr>
          <w:p w:rsidR="00735929" w:rsidRPr="00501C8E" w:rsidRDefault="00B2438C" w:rsidP="002154E0">
            <w:pPr>
              <w:tabs>
                <w:tab w:val="left" w:pos="522"/>
              </w:tabs>
              <w:rPr>
                <w:rStyle w:val="endsenrhsennumparatext"/>
                <w:rFonts w:ascii="Arial" w:hAnsi="Arial" w:cs="Arial"/>
                <w:b/>
                <w:sz w:val="22"/>
                <w:szCs w:val="22"/>
                <w:lang w:val="en"/>
              </w:rPr>
            </w:pPr>
            <w:r w:rsidRPr="00501C8E">
              <w:rPr>
                <w:rStyle w:val="endsenrhsennumparatext"/>
                <w:rFonts w:ascii="Arial" w:hAnsi="Arial" w:cs="Arial"/>
                <w:b/>
                <w:sz w:val="22"/>
                <w:szCs w:val="22"/>
                <w:lang w:val="en"/>
              </w:rPr>
              <w:t>Forecast</w:t>
            </w:r>
            <w:r w:rsidR="00735929" w:rsidRPr="00501C8E">
              <w:rPr>
                <w:rStyle w:val="endsenrhsennumparatext"/>
                <w:rFonts w:ascii="Arial" w:hAnsi="Arial" w:cs="Arial"/>
                <w:b/>
                <w:sz w:val="22"/>
                <w:szCs w:val="22"/>
                <w:lang w:val="en"/>
              </w:rPr>
              <w:t xml:space="preserve"> Net Expenditure on Services</w:t>
            </w:r>
          </w:p>
        </w:tc>
        <w:tc>
          <w:tcPr>
            <w:tcW w:w="1228" w:type="dxa"/>
            <w:tcBorders>
              <w:top w:val="single" w:sz="4" w:space="0" w:color="auto"/>
              <w:bottom w:val="single" w:sz="4" w:space="0" w:color="auto"/>
            </w:tcBorders>
            <w:shd w:val="pct10" w:color="auto" w:fill="auto"/>
            <w:noWrap/>
            <w:vAlign w:val="center"/>
          </w:tcPr>
          <w:p w:rsidR="00735929" w:rsidRPr="00501C8E" w:rsidRDefault="00837866" w:rsidP="005756A0">
            <w:pPr>
              <w:jc w:val="right"/>
              <w:rPr>
                <w:rFonts w:ascii="Arial" w:hAnsi="Arial" w:cs="Arial"/>
                <w:b/>
                <w:sz w:val="22"/>
                <w:szCs w:val="22"/>
                <w:lang w:eastAsia="en-GB"/>
              </w:rPr>
            </w:pPr>
            <w:r w:rsidRPr="00501C8E">
              <w:rPr>
                <w:rFonts w:ascii="Arial" w:hAnsi="Arial" w:cs="Arial"/>
                <w:b/>
                <w:sz w:val="22"/>
                <w:szCs w:val="22"/>
                <w:lang w:eastAsia="en-GB"/>
              </w:rPr>
              <w:t>1</w:t>
            </w:r>
            <w:r w:rsidR="007F620C" w:rsidRPr="00501C8E">
              <w:rPr>
                <w:rFonts w:ascii="Arial" w:hAnsi="Arial" w:cs="Arial"/>
                <w:b/>
                <w:sz w:val="22"/>
                <w:szCs w:val="22"/>
                <w:lang w:eastAsia="en-GB"/>
              </w:rPr>
              <w:t>1</w:t>
            </w:r>
            <w:r w:rsidRPr="00501C8E">
              <w:rPr>
                <w:rFonts w:ascii="Arial" w:hAnsi="Arial" w:cs="Arial"/>
                <w:b/>
                <w:sz w:val="22"/>
                <w:szCs w:val="22"/>
                <w:lang w:eastAsia="en-GB"/>
              </w:rPr>
              <w:t>,</w:t>
            </w:r>
            <w:r w:rsidR="00C759E4" w:rsidRPr="00501C8E">
              <w:rPr>
                <w:rFonts w:ascii="Arial" w:hAnsi="Arial" w:cs="Arial"/>
                <w:b/>
                <w:sz w:val="22"/>
                <w:szCs w:val="22"/>
                <w:lang w:eastAsia="en-GB"/>
              </w:rPr>
              <w:t>2</w:t>
            </w:r>
            <w:r w:rsidR="005756A0" w:rsidRPr="00501C8E">
              <w:rPr>
                <w:rFonts w:ascii="Arial" w:hAnsi="Arial" w:cs="Arial"/>
                <w:b/>
                <w:sz w:val="22"/>
                <w:szCs w:val="22"/>
                <w:lang w:eastAsia="en-GB"/>
              </w:rPr>
              <w:t>33</w:t>
            </w:r>
          </w:p>
        </w:tc>
      </w:tr>
    </w:tbl>
    <w:p w:rsidR="00735929" w:rsidRPr="00501C8E" w:rsidRDefault="00735929" w:rsidP="00735929">
      <w:pPr>
        <w:tabs>
          <w:tab w:val="left" w:pos="720"/>
        </w:tabs>
        <w:ind w:left="720" w:hanging="720"/>
        <w:rPr>
          <w:rFonts w:ascii="Arial" w:hAnsi="Arial" w:cs="Arial"/>
          <w:sz w:val="22"/>
          <w:szCs w:val="22"/>
          <w:highlight w:val="yellow"/>
        </w:rPr>
      </w:pPr>
    </w:p>
    <w:p w:rsidR="00006B17" w:rsidRPr="00501C8E" w:rsidRDefault="00006B17" w:rsidP="00006B17">
      <w:pPr>
        <w:tabs>
          <w:tab w:val="left" w:pos="720"/>
        </w:tabs>
        <w:ind w:left="720" w:hanging="720"/>
        <w:rPr>
          <w:rFonts w:ascii="Arial" w:hAnsi="Arial" w:cs="Arial"/>
          <w:sz w:val="22"/>
          <w:szCs w:val="22"/>
        </w:rPr>
      </w:pPr>
      <w:r w:rsidRPr="00501C8E">
        <w:rPr>
          <w:rFonts w:ascii="Arial" w:hAnsi="Arial" w:cs="Arial"/>
          <w:sz w:val="22"/>
          <w:szCs w:val="22"/>
        </w:rPr>
        <w:lastRenderedPageBreak/>
        <w:tab/>
        <w:t>Note: P/U = 2015/16 Planned Underspend.  Budget carried forward to be spent in the current year</w:t>
      </w:r>
      <w:r w:rsidR="00F84DFA" w:rsidRPr="00501C8E">
        <w:rPr>
          <w:rFonts w:ascii="Arial" w:hAnsi="Arial" w:cs="Arial"/>
          <w:sz w:val="22"/>
          <w:szCs w:val="22"/>
        </w:rPr>
        <w:t xml:space="preserve"> (with corresponding saving shown in the 2015/16 financial year).</w:t>
      </w:r>
      <w:r w:rsidRPr="00501C8E">
        <w:rPr>
          <w:rFonts w:ascii="Arial" w:hAnsi="Arial" w:cs="Arial"/>
          <w:sz w:val="22"/>
          <w:szCs w:val="22"/>
        </w:rPr>
        <w:tab/>
      </w:r>
    </w:p>
    <w:p w:rsidR="0047566F" w:rsidRPr="00501C8E" w:rsidRDefault="0047566F" w:rsidP="00F21659">
      <w:pPr>
        <w:tabs>
          <w:tab w:val="left" w:pos="720"/>
        </w:tabs>
        <w:ind w:left="720" w:hanging="720"/>
        <w:rPr>
          <w:rFonts w:ascii="Arial" w:hAnsi="Arial" w:cs="Arial"/>
          <w:sz w:val="22"/>
          <w:szCs w:val="22"/>
        </w:rPr>
      </w:pPr>
    </w:p>
    <w:p w:rsidR="00074695" w:rsidRPr="00501C8E" w:rsidRDefault="0047566F" w:rsidP="002154E0">
      <w:pPr>
        <w:tabs>
          <w:tab w:val="left" w:pos="720"/>
        </w:tabs>
        <w:ind w:left="720" w:hanging="720"/>
        <w:rPr>
          <w:rFonts w:ascii="Arial" w:hAnsi="Arial" w:cs="Arial"/>
          <w:sz w:val="22"/>
          <w:szCs w:val="22"/>
        </w:rPr>
      </w:pPr>
      <w:r w:rsidRPr="00501C8E">
        <w:rPr>
          <w:rFonts w:ascii="Arial" w:hAnsi="Arial" w:cs="Arial"/>
          <w:sz w:val="22"/>
          <w:szCs w:val="22"/>
        </w:rPr>
        <w:tab/>
      </w:r>
      <w:r w:rsidR="004431BC" w:rsidRPr="00501C8E">
        <w:rPr>
          <w:rFonts w:ascii="Arial" w:hAnsi="Arial" w:cs="Arial"/>
          <w:sz w:val="22"/>
          <w:szCs w:val="22"/>
        </w:rPr>
        <w:t xml:space="preserve">Table 2 above </w:t>
      </w:r>
      <w:r w:rsidR="003D4EC2" w:rsidRPr="00501C8E">
        <w:rPr>
          <w:rFonts w:ascii="Arial" w:hAnsi="Arial" w:cs="Arial"/>
          <w:sz w:val="22"/>
          <w:szCs w:val="22"/>
        </w:rPr>
        <w:t xml:space="preserve">shows that net expenditure on services </w:t>
      </w:r>
      <w:r w:rsidR="00B2438C" w:rsidRPr="00501C8E">
        <w:rPr>
          <w:rFonts w:ascii="Arial" w:hAnsi="Arial" w:cs="Arial"/>
          <w:sz w:val="22"/>
          <w:szCs w:val="22"/>
        </w:rPr>
        <w:t xml:space="preserve">is forecast to be </w:t>
      </w:r>
      <w:r w:rsidR="004431BC" w:rsidRPr="00501C8E">
        <w:rPr>
          <w:rFonts w:ascii="Arial" w:hAnsi="Arial" w:cs="Arial"/>
          <w:sz w:val="22"/>
          <w:szCs w:val="22"/>
        </w:rPr>
        <w:t>£11.2</w:t>
      </w:r>
      <w:r w:rsidR="000B5F7B" w:rsidRPr="00501C8E">
        <w:rPr>
          <w:rFonts w:ascii="Arial" w:hAnsi="Arial" w:cs="Arial"/>
          <w:sz w:val="22"/>
          <w:szCs w:val="22"/>
        </w:rPr>
        <w:t>33</w:t>
      </w:r>
      <w:r w:rsidR="004431BC" w:rsidRPr="00501C8E">
        <w:rPr>
          <w:rFonts w:ascii="Arial" w:hAnsi="Arial" w:cs="Arial"/>
          <w:sz w:val="22"/>
          <w:szCs w:val="22"/>
        </w:rPr>
        <w:t xml:space="preserve">m, an increase of </w:t>
      </w:r>
      <w:r w:rsidR="003D4EC2" w:rsidRPr="00501C8E">
        <w:rPr>
          <w:rFonts w:ascii="Arial" w:hAnsi="Arial" w:cs="Arial"/>
          <w:sz w:val="22"/>
          <w:szCs w:val="22"/>
        </w:rPr>
        <w:t>£</w:t>
      </w:r>
      <w:r w:rsidR="00BB0CEB" w:rsidRPr="00501C8E">
        <w:rPr>
          <w:rFonts w:ascii="Arial" w:hAnsi="Arial" w:cs="Arial"/>
          <w:sz w:val="22"/>
          <w:szCs w:val="22"/>
        </w:rPr>
        <w:t>0.</w:t>
      </w:r>
      <w:r w:rsidR="000B5F7B" w:rsidRPr="00501C8E">
        <w:rPr>
          <w:rFonts w:ascii="Arial" w:hAnsi="Arial" w:cs="Arial"/>
          <w:sz w:val="22"/>
          <w:szCs w:val="22"/>
        </w:rPr>
        <w:t>118</w:t>
      </w:r>
      <w:r w:rsidR="003D4EC2" w:rsidRPr="00501C8E">
        <w:rPr>
          <w:rFonts w:ascii="Arial" w:hAnsi="Arial" w:cs="Arial"/>
          <w:sz w:val="22"/>
          <w:szCs w:val="22"/>
        </w:rPr>
        <w:t xml:space="preserve">m </w:t>
      </w:r>
      <w:r w:rsidR="004431BC" w:rsidRPr="00501C8E">
        <w:rPr>
          <w:rFonts w:ascii="Arial" w:hAnsi="Arial" w:cs="Arial"/>
          <w:sz w:val="22"/>
          <w:szCs w:val="22"/>
        </w:rPr>
        <w:t>on the</w:t>
      </w:r>
      <w:r w:rsidR="003D4EC2" w:rsidRPr="00501C8E">
        <w:rPr>
          <w:rFonts w:ascii="Arial" w:hAnsi="Arial" w:cs="Arial"/>
          <w:sz w:val="22"/>
          <w:szCs w:val="22"/>
        </w:rPr>
        <w:t xml:space="preserve"> </w:t>
      </w:r>
      <w:r w:rsidR="00B2438C" w:rsidRPr="00501C8E">
        <w:rPr>
          <w:rFonts w:ascii="Arial" w:hAnsi="Arial" w:cs="Arial"/>
          <w:sz w:val="22"/>
          <w:szCs w:val="22"/>
        </w:rPr>
        <w:t xml:space="preserve">original </w:t>
      </w:r>
      <w:r w:rsidR="002154E0" w:rsidRPr="00501C8E">
        <w:rPr>
          <w:rFonts w:ascii="Arial" w:hAnsi="Arial" w:cs="Arial"/>
          <w:sz w:val="22"/>
          <w:szCs w:val="22"/>
        </w:rPr>
        <w:t>budget</w:t>
      </w:r>
      <w:r w:rsidR="004431BC" w:rsidRPr="00501C8E">
        <w:rPr>
          <w:rFonts w:ascii="Arial" w:hAnsi="Arial" w:cs="Arial"/>
          <w:sz w:val="22"/>
          <w:szCs w:val="22"/>
        </w:rPr>
        <w:t xml:space="preserve"> as seen at Annex 1</w:t>
      </w:r>
      <w:r w:rsidR="002154E0" w:rsidRPr="00501C8E">
        <w:rPr>
          <w:rFonts w:ascii="Arial" w:hAnsi="Arial" w:cs="Arial"/>
          <w:sz w:val="22"/>
          <w:szCs w:val="22"/>
        </w:rPr>
        <w:t xml:space="preserve">, however as can be seen from the table, the inclusion of additional investment property income is masking general </w:t>
      </w:r>
      <w:r w:rsidR="00074695" w:rsidRPr="00501C8E">
        <w:rPr>
          <w:rFonts w:ascii="Arial" w:hAnsi="Arial" w:cs="Arial"/>
          <w:sz w:val="22"/>
          <w:szCs w:val="22"/>
        </w:rPr>
        <w:t xml:space="preserve">growth in expenditure, some of which will continue into 2017/18, </w:t>
      </w:r>
      <w:r w:rsidR="002154E0" w:rsidRPr="00501C8E">
        <w:rPr>
          <w:rFonts w:ascii="Arial" w:hAnsi="Arial" w:cs="Arial"/>
          <w:sz w:val="22"/>
          <w:szCs w:val="22"/>
        </w:rPr>
        <w:t xml:space="preserve">which </w:t>
      </w:r>
      <w:r w:rsidR="00074695" w:rsidRPr="00501C8E">
        <w:rPr>
          <w:rFonts w:ascii="Arial" w:hAnsi="Arial" w:cs="Arial"/>
          <w:sz w:val="22"/>
          <w:szCs w:val="22"/>
        </w:rPr>
        <w:t>has not been factored into the MTFS</w:t>
      </w:r>
      <w:r w:rsidR="007E5DE6" w:rsidRPr="00501C8E">
        <w:rPr>
          <w:rFonts w:ascii="Arial" w:hAnsi="Arial" w:cs="Arial"/>
          <w:sz w:val="22"/>
          <w:szCs w:val="22"/>
        </w:rPr>
        <w:t xml:space="preserve"> approved by </w:t>
      </w:r>
      <w:r w:rsidR="00455FD7">
        <w:rPr>
          <w:rFonts w:ascii="Arial" w:hAnsi="Arial" w:cs="Arial"/>
          <w:sz w:val="22"/>
          <w:szCs w:val="22"/>
        </w:rPr>
        <w:t>M</w:t>
      </w:r>
      <w:r w:rsidR="007E5DE6" w:rsidRPr="00501C8E">
        <w:rPr>
          <w:rFonts w:ascii="Arial" w:hAnsi="Arial" w:cs="Arial"/>
          <w:sz w:val="22"/>
          <w:szCs w:val="22"/>
        </w:rPr>
        <w:t>embers in February 2016</w:t>
      </w:r>
      <w:r w:rsidR="00074695" w:rsidRPr="00501C8E">
        <w:rPr>
          <w:rFonts w:ascii="Arial" w:hAnsi="Arial" w:cs="Arial"/>
          <w:sz w:val="22"/>
          <w:szCs w:val="22"/>
        </w:rPr>
        <w:t>.</w:t>
      </w:r>
      <w:r w:rsidR="003624C1" w:rsidRPr="00501C8E">
        <w:rPr>
          <w:rFonts w:ascii="Arial" w:hAnsi="Arial" w:cs="Arial"/>
          <w:sz w:val="22"/>
          <w:szCs w:val="22"/>
        </w:rPr>
        <w:t xml:space="preserve"> Excluding property the net expenditure on services has increased by £9</w:t>
      </w:r>
      <w:r w:rsidR="000B5F7B" w:rsidRPr="00501C8E">
        <w:rPr>
          <w:rFonts w:ascii="Arial" w:hAnsi="Arial" w:cs="Arial"/>
          <w:sz w:val="22"/>
          <w:szCs w:val="22"/>
        </w:rPr>
        <w:t>22</w:t>
      </w:r>
      <w:r w:rsidR="003624C1" w:rsidRPr="00501C8E">
        <w:rPr>
          <w:rFonts w:ascii="Arial" w:hAnsi="Arial" w:cs="Arial"/>
          <w:sz w:val="22"/>
          <w:szCs w:val="22"/>
        </w:rPr>
        <w:t>.000 of which £345,000 relates to one off expenditure that will not occur again in the future.</w:t>
      </w:r>
      <w:r w:rsidR="00D4586D" w:rsidRPr="00501C8E">
        <w:rPr>
          <w:rFonts w:ascii="Arial" w:hAnsi="Arial" w:cs="Arial"/>
          <w:sz w:val="22"/>
          <w:szCs w:val="22"/>
        </w:rPr>
        <w:t xml:space="preserve">  In addition to this, some of the additional costs being incurred are necessary to alleviate additional costs in future years, or are the first steps towards greater income generation.  This will be highlighted in the revised MTFS to be presented to the Council in the </w:t>
      </w:r>
      <w:r w:rsidR="00455FD7">
        <w:rPr>
          <w:rFonts w:ascii="Arial" w:hAnsi="Arial" w:cs="Arial"/>
          <w:sz w:val="22"/>
          <w:szCs w:val="22"/>
        </w:rPr>
        <w:t>N</w:t>
      </w:r>
      <w:r w:rsidR="00D4586D" w:rsidRPr="00501C8E">
        <w:rPr>
          <w:rFonts w:ascii="Arial" w:hAnsi="Arial" w:cs="Arial"/>
          <w:sz w:val="22"/>
          <w:szCs w:val="22"/>
        </w:rPr>
        <w:t xml:space="preserve">ew </w:t>
      </w:r>
      <w:r w:rsidR="00455FD7">
        <w:rPr>
          <w:rFonts w:ascii="Arial" w:hAnsi="Arial" w:cs="Arial"/>
          <w:sz w:val="22"/>
          <w:szCs w:val="22"/>
        </w:rPr>
        <w:t>Y</w:t>
      </w:r>
      <w:r w:rsidR="00D4586D" w:rsidRPr="00501C8E">
        <w:rPr>
          <w:rFonts w:ascii="Arial" w:hAnsi="Arial" w:cs="Arial"/>
          <w:sz w:val="22"/>
          <w:szCs w:val="22"/>
        </w:rPr>
        <w:t>ear.</w:t>
      </w:r>
    </w:p>
    <w:p w:rsidR="00C17B72" w:rsidRPr="00501C8E" w:rsidRDefault="00C17B72" w:rsidP="00F21659">
      <w:pPr>
        <w:tabs>
          <w:tab w:val="left" w:pos="720"/>
        </w:tabs>
        <w:ind w:left="720" w:hanging="720"/>
        <w:rPr>
          <w:rFonts w:ascii="Arial" w:hAnsi="Arial" w:cs="Arial"/>
          <w:sz w:val="22"/>
          <w:szCs w:val="22"/>
        </w:rPr>
      </w:pPr>
    </w:p>
    <w:p w:rsidR="002154E0" w:rsidRPr="00501C8E" w:rsidRDefault="00C17B72" w:rsidP="002154E0">
      <w:pPr>
        <w:pStyle w:val="ListParagraph"/>
        <w:numPr>
          <w:ilvl w:val="1"/>
          <w:numId w:val="43"/>
        </w:numPr>
        <w:tabs>
          <w:tab w:val="left" w:pos="720"/>
        </w:tabs>
        <w:ind w:left="709" w:hanging="709"/>
        <w:rPr>
          <w:rFonts w:ascii="Arial" w:hAnsi="Arial" w:cs="Arial"/>
          <w:sz w:val="22"/>
          <w:szCs w:val="22"/>
        </w:rPr>
      </w:pPr>
      <w:r w:rsidRPr="00501C8E">
        <w:rPr>
          <w:rFonts w:ascii="Arial" w:hAnsi="Arial" w:cs="Arial"/>
          <w:sz w:val="22"/>
          <w:szCs w:val="22"/>
        </w:rPr>
        <w:tab/>
      </w:r>
      <w:r w:rsidR="002154E0" w:rsidRPr="00501C8E">
        <w:rPr>
          <w:rFonts w:ascii="Arial" w:hAnsi="Arial" w:cs="Arial"/>
          <w:sz w:val="22"/>
          <w:szCs w:val="22"/>
        </w:rPr>
        <w:t xml:space="preserve">Employee costs are by far the major cost item in the Council’s overall budget.  This budget is controlled centrally and quarterly Salary Control reports are distributed to the Corporate Leadership Team for them to monitor their staffing budgets.    Since this target was introduced, additional staff commitments have been approved for the current year, some of which are to be met from savings/additional income generation.  All additional net costs from these posts have been included in table 2 against the relevant service areas.  </w:t>
      </w:r>
      <w:r w:rsidR="00D36C7F" w:rsidRPr="00501C8E">
        <w:rPr>
          <w:rFonts w:ascii="Arial" w:hAnsi="Arial" w:cs="Arial"/>
          <w:sz w:val="22"/>
          <w:szCs w:val="22"/>
        </w:rPr>
        <w:t>In Council tax two officers have agreed to take voluntary redundancy as part of the resources restructure. Although they will not leave the Councils employment until 2017/18, their costs are known and accounting regulations require us to account for the costs in this financial year</w:t>
      </w:r>
    </w:p>
    <w:p w:rsidR="002154E0" w:rsidRPr="00501C8E" w:rsidRDefault="002154E0" w:rsidP="002154E0">
      <w:pPr>
        <w:pStyle w:val="ListParagraph"/>
        <w:ind w:left="709" w:hanging="709"/>
        <w:rPr>
          <w:rFonts w:ascii="Arial" w:hAnsi="Arial" w:cs="Arial"/>
          <w:sz w:val="22"/>
          <w:szCs w:val="22"/>
        </w:rPr>
      </w:pPr>
    </w:p>
    <w:p w:rsidR="002154E0" w:rsidRPr="00501C8E" w:rsidRDefault="002154E0" w:rsidP="002154E0">
      <w:pPr>
        <w:pStyle w:val="ListParagraph"/>
        <w:numPr>
          <w:ilvl w:val="1"/>
          <w:numId w:val="43"/>
        </w:numPr>
        <w:tabs>
          <w:tab w:val="left" w:pos="720"/>
        </w:tabs>
        <w:ind w:left="709" w:hanging="709"/>
        <w:rPr>
          <w:rFonts w:ascii="Arial" w:hAnsi="Arial" w:cs="Arial"/>
          <w:sz w:val="22"/>
          <w:szCs w:val="22"/>
        </w:rPr>
      </w:pPr>
      <w:r w:rsidRPr="00501C8E">
        <w:rPr>
          <w:rFonts w:ascii="Arial" w:hAnsi="Arial" w:cs="Arial"/>
          <w:sz w:val="22"/>
          <w:szCs w:val="22"/>
        </w:rPr>
        <w:t xml:space="preserve">The 2016/17 budget included a staff turnover/vacancy savings target of £290,000 plus a further £50,000 from the </w:t>
      </w:r>
      <w:r w:rsidR="00455FD7">
        <w:rPr>
          <w:rFonts w:ascii="Arial" w:hAnsi="Arial" w:cs="Arial"/>
          <w:sz w:val="22"/>
          <w:szCs w:val="22"/>
        </w:rPr>
        <w:t>R</w:t>
      </w:r>
      <w:r w:rsidRPr="00501C8E">
        <w:rPr>
          <w:rFonts w:ascii="Arial" w:hAnsi="Arial" w:cs="Arial"/>
          <w:sz w:val="22"/>
          <w:szCs w:val="22"/>
        </w:rPr>
        <w:t xml:space="preserve">esources restructure (reported to this Committee in June 2016).  The turnover/vacancy savings target was set against the salary budget for all </w:t>
      </w:r>
      <w:r w:rsidR="00455FD7">
        <w:rPr>
          <w:rFonts w:ascii="Arial" w:hAnsi="Arial" w:cs="Arial"/>
          <w:sz w:val="22"/>
          <w:szCs w:val="22"/>
        </w:rPr>
        <w:t>O</w:t>
      </w:r>
      <w:r w:rsidRPr="00501C8E">
        <w:rPr>
          <w:rFonts w:ascii="Arial" w:hAnsi="Arial" w:cs="Arial"/>
          <w:sz w:val="22"/>
          <w:szCs w:val="22"/>
        </w:rPr>
        <w:t xml:space="preserve">fficers with the exception of some frontline services where filling vacancies with agency or temporary staff is imperative in order to keep the service running (e.g. refuse collection, street cleansing, day centre transport </w:t>
      </w:r>
      <w:r w:rsidR="00A861D3" w:rsidRPr="00501C8E">
        <w:rPr>
          <w:rFonts w:ascii="Arial" w:hAnsi="Arial" w:cs="Arial"/>
          <w:sz w:val="22"/>
          <w:szCs w:val="22"/>
        </w:rPr>
        <w:t>etc.</w:t>
      </w:r>
      <w:r w:rsidRPr="00501C8E">
        <w:rPr>
          <w:rFonts w:ascii="Arial" w:hAnsi="Arial" w:cs="Arial"/>
          <w:sz w:val="22"/>
          <w:szCs w:val="22"/>
        </w:rPr>
        <w:t>).  These targets have been built into the Current Budget column in table 3 below, which monitors the current staffing spend against the expected budget spend for the period to date.   This shows that as at the 30 June, the salary budget is underspent by £17,000.  It is assumed in Table 2 above that th</w:t>
      </w:r>
      <w:r w:rsidR="00974DE7" w:rsidRPr="00501C8E">
        <w:rPr>
          <w:rFonts w:ascii="Arial" w:hAnsi="Arial" w:cs="Arial"/>
          <w:sz w:val="22"/>
          <w:szCs w:val="22"/>
        </w:rPr>
        <w:t xml:space="preserve">e salaries will be in balance by </w:t>
      </w:r>
      <w:r w:rsidRPr="00501C8E">
        <w:rPr>
          <w:rFonts w:ascii="Arial" w:hAnsi="Arial" w:cs="Arial"/>
          <w:sz w:val="22"/>
          <w:szCs w:val="22"/>
        </w:rPr>
        <w:t>the year end.</w:t>
      </w:r>
    </w:p>
    <w:p w:rsidR="002154E0" w:rsidRPr="00501C8E" w:rsidRDefault="002154E0" w:rsidP="002154E0">
      <w:pPr>
        <w:pStyle w:val="ListParagraph"/>
        <w:rPr>
          <w:rFonts w:ascii="Arial" w:hAnsi="Arial" w:cs="Arial"/>
          <w:sz w:val="22"/>
          <w:szCs w:val="22"/>
        </w:rPr>
      </w:pPr>
    </w:p>
    <w:tbl>
      <w:tblPr>
        <w:tblW w:w="8494"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3937"/>
        <w:gridCol w:w="1133"/>
        <w:gridCol w:w="1134"/>
        <w:gridCol w:w="1132"/>
        <w:gridCol w:w="1158"/>
      </w:tblGrid>
      <w:tr w:rsidR="002154E0" w:rsidRPr="00501C8E" w:rsidTr="002154E0">
        <w:trPr>
          <w:trHeight w:val="255"/>
        </w:trPr>
        <w:tc>
          <w:tcPr>
            <w:tcW w:w="8494" w:type="dxa"/>
            <w:gridSpan w:val="5"/>
            <w:shd w:val="clear" w:color="auto" w:fill="BFBFBF" w:themeFill="background1" w:themeFillShade="BF"/>
          </w:tcPr>
          <w:p w:rsidR="002154E0" w:rsidRPr="00501C8E" w:rsidRDefault="002154E0" w:rsidP="002154E0">
            <w:pPr>
              <w:tabs>
                <w:tab w:val="left" w:pos="720"/>
              </w:tabs>
              <w:ind w:left="720" w:hanging="720"/>
              <w:jc w:val="center"/>
              <w:rPr>
                <w:rFonts w:ascii="Arial" w:hAnsi="Arial" w:cs="Arial"/>
                <w:sz w:val="22"/>
                <w:szCs w:val="22"/>
                <w:lang w:eastAsia="en-GB"/>
              </w:rPr>
            </w:pPr>
            <w:r w:rsidRPr="00501C8E">
              <w:rPr>
                <w:rFonts w:ascii="Arial" w:hAnsi="Arial" w:cs="Arial"/>
                <w:b/>
                <w:bCs/>
                <w:sz w:val="22"/>
                <w:szCs w:val="22"/>
                <w:lang w:eastAsia="en-GB"/>
              </w:rPr>
              <w:t>Table 3 – Current salary budget performance</w:t>
            </w:r>
          </w:p>
        </w:tc>
      </w:tr>
      <w:tr w:rsidR="002154E0" w:rsidRPr="00501C8E" w:rsidTr="002154E0">
        <w:trPr>
          <w:trHeight w:val="255"/>
        </w:trPr>
        <w:tc>
          <w:tcPr>
            <w:tcW w:w="3958" w:type="dxa"/>
            <w:shd w:val="clear" w:color="auto" w:fill="auto"/>
            <w:vAlign w:val="center"/>
          </w:tcPr>
          <w:p w:rsidR="002154E0" w:rsidRPr="00501C8E" w:rsidRDefault="002154E0" w:rsidP="002154E0">
            <w:pPr>
              <w:tabs>
                <w:tab w:val="left" w:pos="720"/>
              </w:tabs>
              <w:ind w:left="720" w:hanging="720"/>
              <w:rPr>
                <w:rFonts w:ascii="Arial" w:hAnsi="Arial" w:cs="Arial"/>
                <w:sz w:val="22"/>
                <w:szCs w:val="22"/>
                <w:lang w:eastAsia="en-GB"/>
              </w:rPr>
            </w:pPr>
          </w:p>
        </w:tc>
        <w:tc>
          <w:tcPr>
            <w:tcW w:w="1134" w:type="dxa"/>
            <w:shd w:val="clear" w:color="auto" w:fill="auto"/>
            <w:vAlign w:val="center"/>
          </w:tcPr>
          <w:p w:rsidR="002154E0" w:rsidRPr="00501C8E" w:rsidRDefault="002154E0" w:rsidP="002154E0">
            <w:pPr>
              <w:tabs>
                <w:tab w:val="left" w:pos="720"/>
              </w:tabs>
              <w:ind w:left="720" w:hanging="720"/>
              <w:jc w:val="center"/>
              <w:rPr>
                <w:rFonts w:ascii="Arial" w:hAnsi="Arial" w:cs="Arial"/>
                <w:b/>
                <w:sz w:val="22"/>
                <w:szCs w:val="22"/>
                <w:lang w:eastAsia="en-GB"/>
              </w:rPr>
            </w:pPr>
            <w:r w:rsidRPr="00501C8E">
              <w:rPr>
                <w:rFonts w:ascii="Arial" w:hAnsi="Arial" w:cs="Arial"/>
                <w:b/>
                <w:sz w:val="22"/>
                <w:szCs w:val="22"/>
                <w:lang w:eastAsia="en-GB"/>
              </w:rPr>
              <w:t>Current</w:t>
            </w:r>
          </w:p>
          <w:p w:rsidR="002154E0" w:rsidRPr="00501C8E" w:rsidRDefault="002154E0" w:rsidP="002154E0">
            <w:pPr>
              <w:tabs>
                <w:tab w:val="left" w:pos="720"/>
              </w:tabs>
              <w:ind w:left="720" w:hanging="720"/>
              <w:jc w:val="center"/>
              <w:rPr>
                <w:rFonts w:ascii="Arial" w:hAnsi="Arial" w:cs="Arial"/>
                <w:b/>
                <w:sz w:val="22"/>
                <w:szCs w:val="22"/>
                <w:lang w:eastAsia="en-GB"/>
              </w:rPr>
            </w:pPr>
            <w:r w:rsidRPr="00501C8E">
              <w:rPr>
                <w:rFonts w:ascii="Arial" w:hAnsi="Arial" w:cs="Arial"/>
                <w:b/>
                <w:sz w:val="22"/>
                <w:szCs w:val="22"/>
                <w:lang w:eastAsia="en-GB"/>
              </w:rPr>
              <w:t>Budget</w:t>
            </w:r>
          </w:p>
          <w:p w:rsidR="002154E0" w:rsidRPr="00501C8E" w:rsidRDefault="002154E0" w:rsidP="002154E0">
            <w:pPr>
              <w:ind w:left="720" w:hanging="720"/>
              <w:jc w:val="center"/>
              <w:rPr>
                <w:rFonts w:ascii="Arial" w:hAnsi="Arial" w:cs="Arial"/>
                <w:b/>
                <w:sz w:val="22"/>
                <w:szCs w:val="22"/>
                <w:lang w:eastAsia="en-GB"/>
              </w:rPr>
            </w:pPr>
            <w:r w:rsidRPr="00501C8E">
              <w:rPr>
                <w:rFonts w:ascii="Arial" w:hAnsi="Arial" w:cs="Arial"/>
                <w:b/>
                <w:sz w:val="22"/>
                <w:szCs w:val="22"/>
                <w:lang w:eastAsia="en-GB"/>
              </w:rPr>
              <w:t>£000</w:t>
            </w:r>
          </w:p>
        </w:tc>
        <w:tc>
          <w:tcPr>
            <w:tcW w:w="1134" w:type="dxa"/>
            <w:shd w:val="clear" w:color="auto" w:fill="auto"/>
            <w:noWrap/>
            <w:vAlign w:val="bottom"/>
          </w:tcPr>
          <w:p w:rsidR="002154E0" w:rsidRPr="00501C8E" w:rsidRDefault="002154E0" w:rsidP="002154E0">
            <w:pPr>
              <w:tabs>
                <w:tab w:val="left" w:pos="720"/>
              </w:tabs>
              <w:jc w:val="center"/>
              <w:rPr>
                <w:rFonts w:ascii="Arial" w:hAnsi="Arial" w:cs="Arial"/>
                <w:b/>
                <w:bCs/>
                <w:sz w:val="22"/>
                <w:szCs w:val="22"/>
                <w:lang w:eastAsia="en-GB"/>
              </w:rPr>
            </w:pPr>
            <w:r w:rsidRPr="00501C8E">
              <w:rPr>
                <w:rFonts w:ascii="Arial" w:hAnsi="Arial" w:cs="Arial"/>
                <w:b/>
                <w:bCs/>
                <w:sz w:val="22"/>
                <w:szCs w:val="22"/>
                <w:lang w:eastAsia="en-GB"/>
              </w:rPr>
              <w:t>Profiled</w:t>
            </w:r>
          </w:p>
          <w:p w:rsidR="002154E0" w:rsidRPr="00501C8E" w:rsidRDefault="002154E0" w:rsidP="002154E0">
            <w:pPr>
              <w:tabs>
                <w:tab w:val="left" w:pos="720"/>
              </w:tabs>
              <w:ind w:left="720" w:hanging="720"/>
              <w:jc w:val="center"/>
              <w:rPr>
                <w:rFonts w:ascii="Arial" w:hAnsi="Arial" w:cs="Arial"/>
                <w:b/>
                <w:bCs/>
                <w:sz w:val="22"/>
                <w:szCs w:val="22"/>
                <w:lang w:eastAsia="en-GB"/>
              </w:rPr>
            </w:pPr>
            <w:r w:rsidRPr="00501C8E">
              <w:rPr>
                <w:rFonts w:ascii="Arial" w:hAnsi="Arial" w:cs="Arial"/>
                <w:b/>
                <w:bCs/>
                <w:sz w:val="22"/>
                <w:szCs w:val="22"/>
                <w:lang w:eastAsia="en-GB"/>
              </w:rPr>
              <w:t>Budget</w:t>
            </w:r>
          </w:p>
          <w:p w:rsidR="002154E0" w:rsidRPr="00501C8E" w:rsidRDefault="002154E0" w:rsidP="002154E0">
            <w:pPr>
              <w:tabs>
                <w:tab w:val="left" w:pos="720"/>
              </w:tabs>
              <w:ind w:left="720" w:hanging="720"/>
              <w:jc w:val="center"/>
              <w:rPr>
                <w:rFonts w:ascii="Arial" w:hAnsi="Arial" w:cs="Arial"/>
                <w:b/>
                <w:bCs/>
                <w:sz w:val="22"/>
                <w:szCs w:val="22"/>
                <w:lang w:eastAsia="en-GB"/>
              </w:rPr>
            </w:pPr>
            <w:r w:rsidRPr="00501C8E">
              <w:rPr>
                <w:rFonts w:ascii="Arial" w:hAnsi="Arial" w:cs="Arial"/>
                <w:b/>
                <w:bCs/>
                <w:sz w:val="22"/>
                <w:szCs w:val="22"/>
                <w:lang w:eastAsia="en-GB"/>
              </w:rPr>
              <w:t>£000</w:t>
            </w:r>
          </w:p>
        </w:tc>
        <w:tc>
          <w:tcPr>
            <w:tcW w:w="1134" w:type="dxa"/>
          </w:tcPr>
          <w:p w:rsidR="002154E0" w:rsidRPr="00501C8E" w:rsidRDefault="002154E0" w:rsidP="002154E0">
            <w:pPr>
              <w:tabs>
                <w:tab w:val="left" w:pos="720"/>
              </w:tabs>
              <w:ind w:left="720" w:hanging="720"/>
              <w:jc w:val="center"/>
              <w:rPr>
                <w:rFonts w:ascii="Arial" w:hAnsi="Arial" w:cs="Arial"/>
                <w:b/>
                <w:bCs/>
                <w:sz w:val="22"/>
                <w:szCs w:val="22"/>
                <w:lang w:eastAsia="en-GB"/>
              </w:rPr>
            </w:pPr>
            <w:r w:rsidRPr="00501C8E">
              <w:rPr>
                <w:rFonts w:ascii="Arial" w:hAnsi="Arial" w:cs="Arial"/>
                <w:b/>
                <w:bCs/>
                <w:sz w:val="22"/>
                <w:szCs w:val="22"/>
                <w:lang w:eastAsia="en-GB"/>
              </w:rPr>
              <w:t>Actual</w:t>
            </w:r>
          </w:p>
          <w:p w:rsidR="002154E0" w:rsidRPr="00501C8E" w:rsidRDefault="002154E0" w:rsidP="002154E0">
            <w:pPr>
              <w:tabs>
                <w:tab w:val="left" w:pos="720"/>
              </w:tabs>
              <w:ind w:left="720" w:hanging="720"/>
              <w:jc w:val="center"/>
              <w:rPr>
                <w:rFonts w:ascii="Arial" w:hAnsi="Arial" w:cs="Arial"/>
                <w:b/>
                <w:bCs/>
                <w:sz w:val="22"/>
                <w:szCs w:val="22"/>
                <w:lang w:eastAsia="en-GB"/>
              </w:rPr>
            </w:pPr>
            <w:r w:rsidRPr="00501C8E">
              <w:rPr>
                <w:rFonts w:ascii="Arial" w:hAnsi="Arial" w:cs="Arial"/>
                <w:b/>
                <w:bCs/>
                <w:sz w:val="22"/>
                <w:szCs w:val="22"/>
                <w:lang w:eastAsia="en-GB"/>
              </w:rPr>
              <w:t>to Date</w:t>
            </w:r>
          </w:p>
          <w:p w:rsidR="002154E0" w:rsidRPr="00501C8E" w:rsidRDefault="002154E0" w:rsidP="002154E0">
            <w:pPr>
              <w:tabs>
                <w:tab w:val="left" w:pos="720"/>
              </w:tabs>
              <w:ind w:left="720" w:hanging="720"/>
              <w:jc w:val="center"/>
              <w:rPr>
                <w:rFonts w:ascii="Arial" w:hAnsi="Arial" w:cs="Arial"/>
                <w:b/>
                <w:bCs/>
                <w:sz w:val="22"/>
                <w:szCs w:val="22"/>
                <w:lang w:eastAsia="en-GB"/>
              </w:rPr>
            </w:pPr>
            <w:r w:rsidRPr="00501C8E">
              <w:rPr>
                <w:rFonts w:ascii="Arial" w:hAnsi="Arial" w:cs="Arial"/>
                <w:b/>
                <w:bCs/>
                <w:sz w:val="22"/>
                <w:szCs w:val="22"/>
                <w:lang w:eastAsia="en-GB"/>
              </w:rPr>
              <w:t>£000</w:t>
            </w:r>
          </w:p>
        </w:tc>
        <w:tc>
          <w:tcPr>
            <w:tcW w:w="1134" w:type="dxa"/>
          </w:tcPr>
          <w:p w:rsidR="002154E0" w:rsidRPr="00501C8E" w:rsidRDefault="002154E0" w:rsidP="002154E0">
            <w:pPr>
              <w:jc w:val="center"/>
              <w:rPr>
                <w:rFonts w:ascii="Arial" w:hAnsi="Arial" w:cs="Arial"/>
                <w:b/>
                <w:bCs/>
                <w:sz w:val="22"/>
                <w:szCs w:val="22"/>
                <w:lang w:eastAsia="en-GB"/>
              </w:rPr>
            </w:pPr>
            <w:r w:rsidRPr="00501C8E">
              <w:rPr>
                <w:rFonts w:ascii="Arial" w:hAnsi="Arial" w:cs="Arial"/>
                <w:b/>
                <w:bCs/>
                <w:sz w:val="22"/>
                <w:szCs w:val="22"/>
                <w:lang w:eastAsia="en-GB"/>
              </w:rPr>
              <w:t>Variation to date</w:t>
            </w:r>
            <w:r w:rsidRPr="00501C8E">
              <w:rPr>
                <w:rFonts w:ascii="Arial" w:hAnsi="Arial" w:cs="Arial"/>
                <w:b/>
                <w:bCs/>
                <w:sz w:val="22"/>
                <w:szCs w:val="22"/>
                <w:lang w:eastAsia="en-GB"/>
              </w:rPr>
              <w:br/>
              <w:t>£’000</w:t>
            </w:r>
          </w:p>
        </w:tc>
      </w:tr>
      <w:tr w:rsidR="002154E0" w:rsidRPr="00501C8E" w:rsidTr="002154E0">
        <w:trPr>
          <w:trHeight w:val="255"/>
        </w:trPr>
        <w:tc>
          <w:tcPr>
            <w:tcW w:w="3958" w:type="dxa"/>
            <w:shd w:val="clear" w:color="auto" w:fill="auto"/>
            <w:vAlign w:val="center"/>
          </w:tcPr>
          <w:p w:rsidR="002154E0" w:rsidRPr="00501C8E" w:rsidRDefault="002154E0" w:rsidP="00E1069B">
            <w:pPr>
              <w:tabs>
                <w:tab w:val="left" w:pos="720"/>
              </w:tabs>
              <w:ind w:left="720" w:hanging="720"/>
              <w:rPr>
                <w:rFonts w:ascii="Arial" w:hAnsi="Arial" w:cs="Arial"/>
                <w:sz w:val="22"/>
                <w:szCs w:val="22"/>
                <w:lang w:eastAsia="en-GB"/>
              </w:rPr>
            </w:pPr>
            <w:r w:rsidRPr="00501C8E">
              <w:rPr>
                <w:rFonts w:ascii="Arial" w:hAnsi="Arial" w:cs="Arial"/>
                <w:sz w:val="22"/>
                <w:szCs w:val="22"/>
                <w:lang w:eastAsia="en-GB"/>
              </w:rPr>
              <w:t xml:space="preserve">Corporate </w:t>
            </w:r>
            <w:r w:rsidR="0074066E" w:rsidRPr="00501C8E">
              <w:rPr>
                <w:rFonts w:ascii="Arial" w:hAnsi="Arial" w:cs="Arial"/>
                <w:sz w:val="22"/>
                <w:szCs w:val="22"/>
                <w:lang w:eastAsia="en-GB"/>
              </w:rPr>
              <w:t>Services</w:t>
            </w:r>
          </w:p>
        </w:tc>
        <w:tc>
          <w:tcPr>
            <w:tcW w:w="1134" w:type="dxa"/>
            <w:shd w:val="clear" w:color="auto" w:fill="auto"/>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492</w:t>
            </w:r>
          </w:p>
        </w:tc>
        <w:tc>
          <w:tcPr>
            <w:tcW w:w="1134" w:type="dxa"/>
            <w:shd w:val="clear" w:color="auto" w:fill="auto"/>
            <w:noWrap/>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245</w:t>
            </w:r>
          </w:p>
        </w:tc>
        <w:tc>
          <w:tcPr>
            <w:tcW w:w="1134" w:type="dxa"/>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242</w:t>
            </w:r>
          </w:p>
        </w:tc>
        <w:tc>
          <w:tcPr>
            <w:tcW w:w="1134" w:type="dxa"/>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(3)</w:t>
            </w:r>
          </w:p>
        </w:tc>
      </w:tr>
      <w:tr w:rsidR="002154E0" w:rsidRPr="00501C8E" w:rsidTr="002154E0">
        <w:trPr>
          <w:trHeight w:val="255"/>
        </w:trPr>
        <w:tc>
          <w:tcPr>
            <w:tcW w:w="3958" w:type="dxa"/>
            <w:shd w:val="clear" w:color="auto" w:fill="auto"/>
            <w:vAlign w:val="center"/>
          </w:tcPr>
          <w:p w:rsidR="002154E0" w:rsidRPr="00501C8E" w:rsidRDefault="002154E0" w:rsidP="002154E0">
            <w:pPr>
              <w:tabs>
                <w:tab w:val="left" w:pos="720"/>
              </w:tabs>
              <w:ind w:left="720" w:hanging="720"/>
              <w:rPr>
                <w:rFonts w:ascii="Arial" w:hAnsi="Arial" w:cs="Arial"/>
                <w:sz w:val="22"/>
                <w:szCs w:val="22"/>
                <w:lang w:eastAsia="en-GB"/>
              </w:rPr>
            </w:pPr>
            <w:r w:rsidRPr="00501C8E">
              <w:rPr>
                <w:rFonts w:ascii="Arial" w:hAnsi="Arial" w:cs="Arial"/>
                <w:sz w:val="22"/>
                <w:szCs w:val="22"/>
                <w:lang w:eastAsia="en-GB"/>
              </w:rPr>
              <w:t>Law &amp; Governance</w:t>
            </w:r>
          </w:p>
        </w:tc>
        <w:tc>
          <w:tcPr>
            <w:tcW w:w="1134" w:type="dxa"/>
            <w:shd w:val="clear" w:color="auto" w:fill="auto"/>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771</w:t>
            </w:r>
          </w:p>
        </w:tc>
        <w:tc>
          <w:tcPr>
            <w:tcW w:w="1134" w:type="dxa"/>
            <w:shd w:val="clear" w:color="auto" w:fill="auto"/>
            <w:noWrap/>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396</w:t>
            </w:r>
          </w:p>
        </w:tc>
        <w:tc>
          <w:tcPr>
            <w:tcW w:w="1134" w:type="dxa"/>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404</w:t>
            </w:r>
          </w:p>
        </w:tc>
        <w:tc>
          <w:tcPr>
            <w:tcW w:w="1134" w:type="dxa"/>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8</w:t>
            </w:r>
          </w:p>
        </w:tc>
      </w:tr>
      <w:tr w:rsidR="002154E0" w:rsidRPr="00501C8E" w:rsidTr="002154E0">
        <w:trPr>
          <w:trHeight w:val="255"/>
        </w:trPr>
        <w:tc>
          <w:tcPr>
            <w:tcW w:w="3958" w:type="dxa"/>
            <w:shd w:val="clear" w:color="auto" w:fill="auto"/>
            <w:vAlign w:val="center"/>
          </w:tcPr>
          <w:p w:rsidR="002154E0" w:rsidRPr="00501C8E" w:rsidRDefault="002154E0" w:rsidP="002154E0">
            <w:pPr>
              <w:tabs>
                <w:tab w:val="left" w:pos="720"/>
              </w:tabs>
              <w:ind w:left="720" w:hanging="720"/>
              <w:rPr>
                <w:rFonts w:ascii="Arial" w:hAnsi="Arial" w:cs="Arial"/>
                <w:sz w:val="22"/>
                <w:szCs w:val="22"/>
                <w:lang w:eastAsia="en-GB"/>
              </w:rPr>
            </w:pPr>
            <w:r w:rsidRPr="00501C8E">
              <w:rPr>
                <w:rFonts w:ascii="Arial" w:hAnsi="Arial" w:cs="Arial"/>
                <w:sz w:val="22"/>
                <w:szCs w:val="22"/>
                <w:lang w:eastAsia="en-GB"/>
              </w:rPr>
              <w:t xml:space="preserve">Resources </w:t>
            </w:r>
          </w:p>
        </w:tc>
        <w:tc>
          <w:tcPr>
            <w:tcW w:w="1134" w:type="dxa"/>
            <w:shd w:val="clear" w:color="auto" w:fill="auto"/>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2,691</w:t>
            </w:r>
          </w:p>
        </w:tc>
        <w:tc>
          <w:tcPr>
            <w:tcW w:w="1134" w:type="dxa"/>
            <w:shd w:val="clear" w:color="auto" w:fill="auto"/>
            <w:noWrap/>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1,344</w:t>
            </w:r>
          </w:p>
        </w:tc>
        <w:tc>
          <w:tcPr>
            <w:tcW w:w="1134" w:type="dxa"/>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1,346</w:t>
            </w:r>
          </w:p>
        </w:tc>
        <w:tc>
          <w:tcPr>
            <w:tcW w:w="1134" w:type="dxa"/>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2</w:t>
            </w:r>
          </w:p>
        </w:tc>
      </w:tr>
      <w:tr w:rsidR="002154E0" w:rsidRPr="00501C8E" w:rsidTr="002154E0">
        <w:trPr>
          <w:trHeight w:val="255"/>
        </w:trPr>
        <w:tc>
          <w:tcPr>
            <w:tcW w:w="3958" w:type="dxa"/>
            <w:shd w:val="clear" w:color="auto" w:fill="auto"/>
            <w:vAlign w:val="center"/>
          </w:tcPr>
          <w:p w:rsidR="002154E0" w:rsidRPr="00501C8E" w:rsidRDefault="002154E0" w:rsidP="002154E0">
            <w:pPr>
              <w:tabs>
                <w:tab w:val="left" w:pos="720"/>
              </w:tabs>
              <w:ind w:left="720" w:hanging="720"/>
              <w:rPr>
                <w:rFonts w:ascii="Arial" w:hAnsi="Arial" w:cs="Arial"/>
                <w:sz w:val="22"/>
                <w:szCs w:val="22"/>
                <w:lang w:eastAsia="en-GB"/>
              </w:rPr>
            </w:pPr>
            <w:r w:rsidRPr="00501C8E">
              <w:rPr>
                <w:rFonts w:ascii="Arial" w:hAnsi="Arial" w:cs="Arial"/>
                <w:sz w:val="22"/>
                <w:szCs w:val="22"/>
                <w:lang w:eastAsia="en-GB"/>
              </w:rPr>
              <w:t>Planning &amp; Environmental</w:t>
            </w:r>
          </w:p>
        </w:tc>
        <w:tc>
          <w:tcPr>
            <w:tcW w:w="1134" w:type="dxa"/>
            <w:tcBorders>
              <w:bottom w:val="dotted" w:sz="4" w:space="0" w:color="auto"/>
            </w:tcBorders>
            <w:shd w:val="clear" w:color="auto" w:fill="auto"/>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2,720</w:t>
            </w:r>
          </w:p>
        </w:tc>
        <w:tc>
          <w:tcPr>
            <w:tcW w:w="1134" w:type="dxa"/>
            <w:tcBorders>
              <w:bottom w:val="dotted" w:sz="4" w:space="0" w:color="auto"/>
            </w:tcBorders>
            <w:shd w:val="clear" w:color="auto" w:fill="auto"/>
            <w:noWrap/>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1,351</w:t>
            </w:r>
          </w:p>
        </w:tc>
        <w:tc>
          <w:tcPr>
            <w:tcW w:w="1134" w:type="dxa"/>
            <w:tcBorders>
              <w:bottom w:val="dotted" w:sz="4" w:space="0" w:color="auto"/>
            </w:tcBorders>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1,285</w:t>
            </w:r>
          </w:p>
        </w:tc>
        <w:tc>
          <w:tcPr>
            <w:tcW w:w="1134" w:type="dxa"/>
            <w:tcBorders>
              <w:bottom w:val="dotted" w:sz="4" w:space="0" w:color="auto"/>
            </w:tcBorders>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(66)</w:t>
            </w:r>
          </w:p>
        </w:tc>
      </w:tr>
      <w:tr w:rsidR="002154E0" w:rsidRPr="00501C8E" w:rsidTr="002154E0">
        <w:trPr>
          <w:trHeight w:val="255"/>
        </w:trPr>
        <w:tc>
          <w:tcPr>
            <w:tcW w:w="3958" w:type="dxa"/>
            <w:shd w:val="clear" w:color="auto" w:fill="auto"/>
            <w:vAlign w:val="center"/>
          </w:tcPr>
          <w:p w:rsidR="002154E0" w:rsidRPr="00501C8E" w:rsidRDefault="002154E0" w:rsidP="002154E0">
            <w:pPr>
              <w:tabs>
                <w:tab w:val="left" w:pos="720"/>
              </w:tabs>
              <w:ind w:left="720" w:hanging="720"/>
              <w:rPr>
                <w:rFonts w:ascii="Arial" w:hAnsi="Arial" w:cs="Arial"/>
                <w:sz w:val="22"/>
                <w:szCs w:val="22"/>
                <w:lang w:eastAsia="en-GB"/>
              </w:rPr>
            </w:pPr>
            <w:r w:rsidRPr="00501C8E">
              <w:rPr>
                <w:rFonts w:ascii="Arial" w:hAnsi="Arial" w:cs="Arial"/>
                <w:sz w:val="22"/>
                <w:szCs w:val="22"/>
                <w:lang w:eastAsia="en-GB"/>
              </w:rPr>
              <w:t>Housing &amp; Community Development</w:t>
            </w:r>
          </w:p>
        </w:tc>
        <w:tc>
          <w:tcPr>
            <w:tcW w:w="1134" w:type="dxa"/>
            <w:tcBorders>
              <w:bottom w:val="dotted" w:sz="4" w:space="0" w:color="auto"/>
            </w:tcBorders>
            <w:shd w:val="clear" w:color="auto" w:fill="auto"/>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2,851</w:t>
            </w:r>
          </w:p>
        </w:tc>
        <w:tc>
          <w:tcPr>
            <w:tcW w:w="1134" w:type="dxa"/>
            <w:tcBorders>
              <w:bottom w:val="dotted" w:sz="4" w:space="0" w:color="auto"/>
            </w:tcBorders>
            <w:shd w:val="clear" w:color="auto" w:fill="auto"/>
            <w:noWrap/>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1,418</w:t>
            </w:r>
          </w:p>
        </w:tc>
        <w:tc>
          <w:tcPr>
            <w:tcW w:w="1134" w:type="dxa"/>
            <w:tcBorders>
              <w:bottom w:val="dotted" w:sz="4" w:space="0" w:color="auto"/>
            </w:tcBorders>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1,463</w:t>
            </w:r>
          </w:p>
        </w:tc>
        <w:tc>
          <w:tcPr>
            <w:tcW w:w="1134" w:type="dxa"/>
            <w:tcBorders>
              <w:bottom w:val="dotted" w:sz="4" w:space="0" w:color="auto"/>
            </w:tcBorders>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45</w:t>
            </w:r>
          </w:p>
        </w:tc>
      </w:tr>
      <w:tr w:rsidR="002154E0" w:rsidRPr="00501C8E" w:rsidTr="002154E0">
        <w:trPr>
          <w:trHeight w:val="255"/>
        </w:trPr>
        <w:tc>
          <w:tcPr>
            <w:tcW w:w="3958" w:type="dxa"/>
            <w:shd w:val="clear" w:color="auto" w:fill="auto"/>
            <w:vAlign w:val="center"/>
          </w:tcPr>
          <w:p w:rsidR="002154E0" w:rsidRPr="00501C8E" w:rsidRDefault="002154E0" w:rsidP="002154E0">
            <w:pPr>
              <w:tabs>
                <w:tab w:val="left" w:pos="720"/>
              </w:tabs>
              <w:ind w:left="720" w:hanging="720"/>
              <w:rPr>
                <w:rFonts w:ascii="Arial" w:hAnsi="Arial" w:cs="Arial"/>
                <w:sz w:val="22"/>
                <w:szCs w:val="22"/>
                <w:lang w:eastAsia="en-GB"/>
              </w:rPr>
            </w:pPr>
            <w:r w:rsidRPr="00501C8E">
              <w:rPr>
                <w:rFonts w:ascii="Arial" w:hAnsi="Arial" w:cs="Arial"/>
                <w:sz w:val="22"/>
                <w:szCs w:val="22"/>
                <w:lang w:eastAsia="en-GB"/>
              </w:rPr>
              <w:t>Employers costs</w:t>
            </w:r>
          </w:p>
        </w:tc>
        <w:tc>
          <w:tcPr>
            <w:tcW w:w="1134" w:type="dxa"/>
            <w:tcBorders>
              <w:top w:val="dotted" w:sz="4" w:space="0" w:color="auto"/>
              <w:bottom w:val="single" w:sz="4" w:space="0" w:color="auto"/>
            </w:tcBorders>
            <w:shd w:val="clear" w:color="auto" w:fill="auto"/>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w:t>
            </w:r>
          </w:p>
        </w:tc>
        <w:tc>
          <w:tcPr>
            <w:tcW w:w="1134" w:type="dxa"/>
            <w:tcBorders>
              <w:top w:val="dotted" w:sz="4" w:space="0" w:color="auto"/>
              <w:bottom w:val="single" w:sz="4" w:space="0" w:color="auto"/>
            </w:tcBorders>
            <w:shd w:val="clear" w:color="auto" w:fill="auto"/>
            <w:noWrap/>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w:t>
            </w:r>
          </w:p>
        </w:tc>
        <w:tc>
          <w:tcPr>
            <w:tcW w:w="1134" w:type="dxa"/>
            <w:tcBorders>
              <w:top w:val="dotted" w:sz="4" w:space="0" w:color="auto"/>
              <w:bottom w:val="single" w:sz="4" w:space="0" w:color="auto"/>
            </w:tcBorders>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w:t>
            </w:r>
          </w:p>
        </w:tc>
        <w:tc>
          <w:tcPr>
            <w:tcW w:w="1134" w:type="dxa"/>
            <w:tcBorders>
              <w:top w:val="dotted" w:sz="4" w:space="0" w:color="auto"/>
              <w:bottom w:val="single" w:sz="4" w:space="0" w:color="auto"/>
            </w:tcBorders>
            <w:vAlign w:val="center"/>
          </w:tcPr>
          <w:p w:rsidR="002154E0" w:rsidRPr="00501C8E" w:rsidRDefault="002154E0" w:rsidP="002154E0">
            <w:pPr>
              <w:tabs>
                <w:tab w:val="left" w:pos="720"/>
              </w:tabs>
              <w:ind w:left="720" w:hanging="720"/>
              <w:jc w:val="right"/>
              <w:rPr>
                <w:rFonts w:ascii="Arial" w:hAnsi="Arial" w:cs="Arial"/>
                <w:sz w:val="22"/>
                <w:szCs w:val="22"/>
                <w:lang w:eastAsia="en-GB"/>
              </w:rPr>
            </w:pPr>
            <w:r w:rsidRPr="00501C8E">
              <w:rPr>
                <w:rFonts w:ascii="Arial" w:hAnsi="Arial" w:cs="Arial"/>
                <w:sz w:val="22"/>
                <w:szCs w:val="22"/>
                <w:lang w:eastAsia="en-GB"/>
              </w:rPr>
              <w:t>(3)</w:t>
            </w:r>
          </w:p>
        </w:tc>
      </w:tr>
      <w:tr w:rsidR="002154E0" w:rsidRPr="00501C8E" w:rsidTr="002154E0">
        <w:trPr>
          <w:trHeight w:val="255"/>
        </w:trPr>
        <w:tc>
          <w:tcPr>
            <w:tcW w:w="3958" w:type="dxa"/>
            <w:shd w:val="clear" w:color="auto" w:fill="auto"/>
            <w:vAlign w:val="center"/>
          </w:tcPr>
          <w:p w:rsidR="002154E0" w:rsidRPr="00501C8E" w:rsidRDefault="002154E0" w:rsidP="002154E0">
            <w:pPr>
              <w:tabs>
                <w:tab w:val="left" w:pos="720"/>
              </w:tabs>
              <w:ind w:left="720" w:hanging="720"/>
              <w:rPr>
                <w:rFonts w:ascii="Arial" w:hAnsi="Arial" w:cs="Arial"/>
                <w:b/>
                <w:sz w:val="22"/>
                <w:szCs w:val="22"/>
                <w:lang w:eastAsia="en-GB"/>
              </w:rPr>
            </w:pPr>
            <w:r w:rsidRPr="00501C8E">
              <w:rPr>
                <w:rFonts w:ascii="Arial" w:hAnsi="Arial" w:cs="Arial"/>
                <w:b/>
                <w:sz w:val="22"/>
                <w:szCs w:val="22"/>
                <w:lang w:eastAsia="en-GB"/>
              </w:rPr>
              <w:t>Total</w:t>
            </w:r>
          </w:p>
        </w:tc>
        <w:tc>
          <w:tcPr>
            <w:tcW w:w="1134" w:type="dxa"/>
            <w:tcBorders>
              <w:top w:val="single" w:sz="4" w:space="0" w:color="auto"/>
              <w:bottom w:val="single" w:sz="4" w:space="0" w:color="auto"/>
            </w:tcBorders>
            <w:shd w:val="clear" w:color="auto" w:fill="auto"/>
            <w:vAlign w:val="center"/>
          </w:tcPr>
          <w:p w:rsidR="002154E0" w:rsidRPr="00501C8E" w:rsidRDefault="002154E0" w:rsidP="002154E0">
            <w:pPr>
              <w:tabs>
                <w:tab w:val="left" w:pos="720"/>
              </w:tabs>
              <w:ind w:left="720" w:hanging="720"/>
              <w:jc w:val="right"/>
              <w:rPr>
                <w:rFonts w:ascii="Arial" w:hAnsi="Arial" w:cs="Arial"/>
                <w:b/>
                <w:sz w:val="22"/>
                <w:szCs w:val="22"/>
                <w:lang w:eastAsia="en-GB"/>
              </w:rPr>
            </w:pPr>
            <w:r w:rsidRPr="00501C8E">
              <w:rPr>
                <w:rFonts w:ascii="Arial" w:hAnsi="Arial" w:cs="Arial"/>
                <w:b/>
                <w:sz w:val="22"/>
                <w:szCs w:val="22"/>
                <w:lang w:eastAsia="en-GB"/>
              </w:rPr>
              <w:t>9,524</w:t>
            </w:r>
          </w:p>
        </w:tc>
        <w:tc>
          <w:tcPr>
            <w:tcW w:w="1134" w:type="dxa"/>
            <w:tcBorders>
              <w:top w:val="single" w:sz="4" w:space="0" w:color="auto"/>
              <w:bottom w:val="single" w:sz="4" w:space="0" w:color="auto"/>
            </w:tcBorders>
            <w:shd w:val="clear" w:color="auto" w:fill="auto"/>
            <w:noWrap/>
            <w:vAlign w:val="center"/>
          </w:tcPr>
          <w:p w:rsidR="002154E0" w:rsidRPr="00501C8E" w:rsidRDefault="002154E0" w:rsidP="002154E0">
            <w:pPr>
              <w:tabs>
                <w:tab w:val="left" w:pos="720"/>
              </w:tabs>
              <w:ind w:left="720" w:hanging="720"/>
              <w:jc w:val="right"/>
              <w:rPr>
                <w:rFonts w:ascii="Arial" w:hAnsi="Arial" w:cs="Arial"/>
                <w:b/>
                <w:sz w:val="22"/>
                <w:szCs w:val="22"/>
                <w:lang w:eastAsia="en-GB"/>
              </w:rPr>
            </w:pPr>
            <w:r w:rsidRPr="00501C8E">
              <w:rPr>
                <w:rFonts w:ascii="Arial" w:hAnsi="Arial" w:cs="Arial"/>
                <w:b/>
                <w:sz w:val="22"/>
                <w:szCs w:val="22"/>
                <w:lang w:eastAsia="en-GB"/>
              </w:rPr>
              <w:t>4,754</w:t>
            </w:r>
          </w:p>
        </w:tc>
        <w:tc>
          <w:tcPr>
            <w:tcW w:w="1134" w:type="dxa"/>
            <w:tcBorders>
              <w:top w:val="single" w:sz="4" w:space="0" w:color="auto"/>
              <w:bottom w:val="single" w:sz="4" w:space="0" w:color="auto"/>
            </w:tcBorders>
            <w:vAlign w:val="center"/>
          </w:tcPr>
          <w:p w:rsidR="002154E0" w:rsidRPr="00501C8E" w:rsidRDefault="002154E0" w:rsidP="002154E0">
            <w:pPr>
              <w:tabs>
                <w:tab w:val="left" w:pos="720"/>
              </w:tabs>
              <w:ind w:left="720" w:hanging="720"/>
              <w:jc w:val="right"/>
              <w:rPr>
                <w:rFonts w:ascii="Arial" w:hAnsi="Arial" w:cs="Arial"/>
                <w:b/>
                <w:sz w:val="22"/>
                <w:szCs w:val="22"/>
                <w:lang w:eastAsia="en-GB"/>
              </w:rPr>
            </w:pPr>
            <w:r w:rsidRPr="00501C8E">
              <w:rPr>
                <w:rFonts w:ascii="Arial" w:hAnsi="Arial" w:cs="Arial"/>
                <w:b/>
                <w:sz w:val="22"/>
                <w:szCs w:val="22"/>
                <w:lang w:eastAsia="en-GB"/>
              </w:rPr>
              <w:t>4,740</w:t>
            </w:r>
          </w:p>
        </w:tc>
        <w:tc>
          <w:tcPr>
            <w:tcW w:w="1134" w:type="dxa"/>
            <w:tcBorders>
              <w:top w:val="single" w:sz="4" w:space="0" w:color="auto"/>
              <w:bottom w:val="single" w:sz="4" w:space="0" w:color="auto"/>
            </w:tcBorders>
            <w:vAlign w:val="center"/>
          </w:tcPr>
          <w:p w:rsidR="002154E0" w:rsidRPr="00501C8E" w:rsidRDefault="002154E0" w:rsidP="002154E0">
            <w:pPr>
              <w:tabs>
                <w:tab w:val="left" w:pos="720"/>
              </w:tabs>
              <w:ind w:left="720" w:hanging="720"/>
              <w:jc w:val="right"/>
              <w:rPr>
                <w:rFonts w:ascii="Arial" w:hAnsi="Arial" w:cs="Arial"/>
                <w:b/>
                <w:sz w:val="22"/>
                <w:szCs w:val="22"/>
                <w:lang w:eastAsia="en-GB"/>
              </w:rPr>
            </w:pPr>
            <w:r w:rsidRPr="00501C8E">
              <w:rPr>
                <w:rFonts w:ascii="Arial" w:hAnsi="Arial" w:cs="Arial"/>
                <w:b/>
                <w:sz w:val="22"/>
                <w:szCs w:val="22"/>
                <w:lang w:eastAsia="en-GB"/>
              </w:rPr>
              <w:t>(17)</w:t>
            </w:r>
          </w:p>
        </w:tc>
      </w:tr>
    </w:tbl>
    <w:p w:rsidR="002154E0" w:rsidRPr="00501C8E" w:rsidRDefault="002154E0" w:rsidP="002154E0">
      <w:pPr>
        <w:tabs>
          <w:tab w:val="left" w:pos="720"/>
        </w:tabs>
        <w:rPr>
          <w:rFonts w:ascii="Arial" w:hAnsi="Arial" w:cs="Arial"/>
          <w:sz w:val="22"/>
          <w:szCs w:val="22"/>
          <w:highlight w:val="yellow"/>
        </w:rPr>
      </w:pPr>
    </w:p>
    <w:p w:rsidR="002154E0" w:rsidRPr="00501C8E" w:rsidRDefault="002154E0" w:rsidP="002154E0">
      <w:pPr>
        <w:pStyle w:val="ListParagraph"/>
        <w:numPr>
          <w:ilvl w:val="1"/>
          <w:numId w:val="43"/>
        </w:numPr>
        <w:ind w:left="709" w:hanging="709"/>
        <w:rPr>
          <w:rFonts w:ascii="Arial" w:hAnsi="Arial" w:cs="Arial"/>
          <w:sz w:val="22"/>
          <w:szCs w:val="22"/>
        </w:rPr>
      </w:pPr>
      <w:r w:rsidRPr="00501C8E">
        <w:rPr>
          <w:rFonts w:ascii="Arial" w:hAnsi="Arial" w:cs="Arial"/>
          <w:sz w:val="22"/>
          <w:szCs w:val="22"/>
        </w:rPr>
        <w:t xml:space="preserve">In order to make up the shortfall in Government funding, the original budget for 2016/17 included some challenging service related savings targets as well a more general savings target of £300,000 (£600,000 in a full year from 2017/18).  CLT have identified savings intended to meet these targets, some of which will be more difficult to generate than others, with the following savings already being identified and reported to </w:t>
      </w:r>
      <w:r w:rsidR="00455FD7">
        <w:rPr>
          <w:rFonts w:ascii="Arial" w:hAnsi="Arial" w:cs="Arial"/>
          <w:sz w:val="22"/>
          <w:szCs w:val="22"/>
        </w:rPr>
        <w:t>C</w:t>
      </w:r>
      <w:r w:rsidRPr="00501C8E">
        <w:rPr>
          <w:rFonts w:ascii="Arial" w:hAnsi="Arial" w:cs="Arial"/>
          <w:sz w:val="22"/>
          <w:szCs w:val="22"/>
        </w:rPr>
        <w:t>ommittee:</w:t>
      </w:r>
    </w:p>
    <w:p w:rsidR="002154E0" w:rsidRPr="00501C8E" w:rsidRDefault="002154E0" w:rsidP="002154E0">
      <w:pPr>
        <w:rPr>
          <w:rFonts w:ascii="Arial" w:hAnsi="Arial" w:cs="Arial"/>
          <w:sz w:val="22"/>
          <w:szCs w:val="22"/>
        </w:rPr>
      </w:pPr>
    </w:p>
    <w:tbl>
      <w:tblPr>
        <w:tblStyle w:val="TableGrid"/>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34"/>
        <w:gridCol w:w="1276"/>
        <w:gridCol w:w="1276"/>
      </w:tblGrid>
      <w:tr w:rsidR="002154E0" w:rsidRPr="00501C8E" w:rsidTr="002154E0">
        <w:tc>
          <w:tcPr>
            <w:tcW w:w="8886" w:type="dxa"/>
            <w:gridSpan w:val="3"/>
            <w:shd w:val="clear" w:color="auto" w:fill="BFBFBF" w:themeFill="background1" w:themeFillShade="BF"/>
          </w:tcPr>
          <w:p w:rsidR="002154E0" w:rsidRPr="00501C8E" w:rsidRDefault="002154E0" w:rsidP="002154E0">
            <w:pPr>
              <w:tabs>
                <w:tab w:val="left" w:pos="720"/>
              </w:tabs>
              <w:jc w:val="center"/>
              <w:rPr>
                <w:rFonts w:ascii="Arial" w:hAnsi="Arial" w:cs="Arial"/>
                <w:b/>
                <w:sz w:val="22"/>
                <w:szCs w:val="22"/>
              </w:rPr>
            </w:pPr>
            <w:r w:rsidRPr="00501C8E">
              <w:rPr>
                <w:rFonts w:ascii="Arial" w:hAnsi="Arial" w:cs="Arial"/>
                <w:b/>
                <w:sz w:val="22"/>
                <w:szCs w:val="22"/>
              </w:rPr>
              <w:lastRenderedPageBreak/>
              <w:t>Table 4 – Progress against Savings Target</w:t>
            </w:r>
          </w:p>
        </w:tc>
      </w:tr>
      <w:tr w:rsidR="002154E0" w:rsidRPr="00501C8E" w:rsidTr="002154E0">
        <w:tc>
          <w:tcPr>
            <w:tcW w:w="6334" w:type="dxa"/>
          </w:tcPr>
          <w:p w:rsidR="002154E0" w:rsidRPr="00501C8E" w:rsidRDefault="002154E0" w:rsidP="002154E0">
            <w:pPr>
              <w:tabs>
                <w:tab w:val="left" w:pos="720"/>
              </w:tabs>
              <w:rPr>
                <w:rFonts w:ascii="Arial" w:hAnsi="Arial" w:cs="Arial"/>
                <w:sz w:val="22"/>
                <w:szCs w:val="22"/>
                <w:highlight w:val="yellow"/>
              </w:rPr>
            </w:pPr>
          </w:p>
        </w:tc>
        <w:tc>
          <w:tcPr>
            <w:tcW w:w="1276" w:type="dxa"/>
          </w:tcPr>
          <w:p w:rsidR="002154E0" w:rsidRPr="00501C8E" w:rsidRDefault="002154E0" w:rsidP="002154E0">
            <w:pPr>
              <w:tabs>
                <w:tab w:val="left" w:pos="720"/>
              </w:tabs>
              <w:jc w:val="center"/>
              <w:rPr>
                <w:rFonts w:ascii="Arial" w:hAnsi="Arial" w:cs="Arial"/>
                <w:b/>
                <w:sz w:val="22"/>
                <w:szCs w:val="22"/>
              </w:rPr>
            </w:pPr>
            <w:r w:rsidRPr="00501C8E">
              <w:rPr>
                <w:rFonts w:ascii="Arial" w:hAnsi="Arial" w:cs="Arial"/>
                <w:b/>
                <w:sz w:val="22"/>
                <w:szCs w:val="22"/>
              </w:rPr>
              <w:t>2016/17</w:t>
            </w:r>
          </w:p>
          <w:p w:rsidR="002154E0" w:rsidRPr="00501C8E" w:rsidRDefault="002154E0" w:rsidP="002154E0">
            <w:pPr>
              <w:tabs>
                <w:tab w:val="left" w:pos="720"/>
              </w:tabs>
              <w:jc w:val="center"/>
              <w:rPr>
                <w:rFonts w:ascii="Arial" w:hAnsi="Arial" w:cs="Arial"/>
                <w:b/>
                <w:sz w:val="22"/>
                <w:szCs w:val="22"/>
              </w:rPr>
            </w:pPr>
            <w:r w:rsidRPr="00501C8E">
              <w:rPr>
                <w:rFonts w:ascii="Arial" w:hAnsi="Arial" w:cs="Arial"/>
                <w:b/>
                <w:sz w:val="22"/>
                <w:szCs w:val="22"/>
              </w:rPr>
              <w:t>£’000</w:t>
            </w:r>
          </w:p>
        </w:tc>
        <w:tc>
          <w:tcPr>
            <w:tcW w:w="1276" w:type="dxa"/>
          </w:tcPr>
          <w:p w:rsidR="002154E0" w:rsidRPr="00501C8E" w:rsidRDefault="002154E0" w:rsidP="002154E0">
            <w:pPr>
              <w:tabs>
                <w:tab w:val="left" w:pos="720"/>
              </w:tabs>
              <w:jc w:val="center"/>
              <w:rPr>
                <w:rFonts w:ascii="Arial" w:hAnsi="Arial" w:cs="Arial"/>
                <w:b/>
                <w:sz w:val="22"/>
                <w:szCs w:val="22"/>
              </w:rPr>
            </w:pPr>
            <w:r w:rsidRPr="00501C8E">
              <w:rPr>
                <w:rFonts w:ascii="Arial" w:hAnsi="Arial" w:cs="Arial"/>
                <w:b/>
                <w:sz w:val="22"/>
                <w:szCs w:val="22"/>
              </w:rPr>
              <w:t>Full Year</w:t>
            </w:r>
          </w:p>
          <w:p w:rsidR="002154E0" w:rsidRPr="00501C8E" w:rsidRDefault="002154E0" w:rsidP="002154E0">
            <w:pPr>
              <w:tabs>
                <w:tab w:val="left" w:pos="720"/>
              </w:tabs>
              <w:jc w:val="center"/>
              <w:rPr>
                <w:rFonts w:ascii="Arial" w:hAnsi="Arial" w:cs="Arial"/>
                <w:b/>
                <w:sz w:val="22"/>
                <w:szCs w:val="22"/>
              </w:rPr>
            </w:pPr>
            <w:r w:rsidRPr="00501C8E">
              <w:rPr>
                <w:rFonts w:ascii="Arial" w:hAnsi="Arial" w:cs="Arial"/>
                <w:b/>
                <w:sz w:val="22"/>
                <w:szCs w:val="22"/>
              </w:rPr>
              <w:t>£’000</w:t>
            </w:r>
          </w:p>
        </w:tc>
      </w:tr>
      <w:tr w:rsidR="002154E0" w:rsidRPr="00501C8E" w:rsidTr="002154E0">
        <w:tc>
          <w:tcPr>
            <w:tcW w:w="6334" w:type="dxa"/>
          </w:tcPr>
          <w:p w:rsidR="002154E0" w:rsidRPr="00501C8E" w:rsidRDefault="002154E0" w:rsidP="002154E0">
            <w:pPr>
              <w:tabs>
                <w:tab w:val="left" w:pos="720"/>
              </w:tabs>
              <w:rPr>
                <w:rFonts w:ascii="Arial" w:hAnsi="Arial" w:cs="Arial"/>
                <w:b/>
                <w:sz w:val="22"/>
                <w:szCs w:val="22"/>
              </w:rPr>
            </w:pPr>
            <w:r w:rsidRPr="00501C8E">
              <w:rPr>
                <w:rFonts w:ascii="Arial" w:hAnsi="Arial" w:cs="Arial"/>
                <w:b/>
                <w:sz w:val="22"/>
                <w:szCs w:val="22"/>
              </w:rPr>
              <w:t>Savings Target as per 2016/17 Budget Book</w:t>
            </w:r>
          </w:p>
        </w:tc>
        <w:tc>
          <w:tcPr>
            <w:tcW w:w="1276" w:type="dxa"/>
          </w:tcPr>
          <w:p w:rsidR="002154E0" w:rsidRPr="00501C8E" w:rsidRDefault="002154E0" w:rsidP="002154E0">
            <w:pPr>
              <w:tabs>
                <w:tab w:val="left" w:pos="720"/>
              </w:tabs>
              <w:jc w:val="right"/>
              <w:rPr>
                <w:rFonts w:ascii="Arial" w:hAnsi="Arial" w:cs="Arial"/>
                <w:b/>
                <w:sz w:val="22"/>
                <w:szCs w:val="22"/>
              </w:rPr>
            </w:pPr>
            <w:r w:rsidRPr="00501C8E">
              <w:rPr>
                <w:rFonts w:ascii="Arial" w:hAnsi="Arial" w:cs="Arial"/>
                <w:b/>
                <w:sz w:val="22"/>
                <w:szCs w:val="22"/>
              </w:rPr>
              <w:t>300</w:t>
            </w:r>
          </w:p>
        </w:tc>
        <w:tc>
          <w:tcPr>
            <w:tcW w:w="1276" w:type="dxa"/>
          </w:tcPr>
          <w:p w:rsidR="002154E0" w:rsidRPr="00501C8E" w:rsidRDefault="002154E0" w:rsidP="002154E0">
            <w:pPr>
              <w:tabs>
                <w:tab w:val="left" w:pos="720"/>
              </w:tabs>
              <w:jc w:val="right"/>
              <w:rPr>
                <w:rFonts w:ascii="Arial" w:hAnsi="Arial" w:cs="Arial"/>
                <w:b/>
                <w:sz w:val="22"/>
                <w:szCs w:val="22"/>
              </w:rPr>
            </w:pPr>
            <w:r w:rsidRPr="00501C8E">
              <w:rPr>
                <w:rFonts w:ascii="Arial" w:hAnsi="Arial" w:cs="Arial"/>
                <w:b/>
                <w:sz w:val="22"/>
                <w:szCs w:val="22"/>
              </w:rPr>
              <w:t>600</w:t>
            </w:r>
          </w:p>
        </w:tc>
      </w:tr>
      <w:tr w:rsidR="002154E0" w:rsidRPr="00501C8E" w:rsidTr="002154E0">
        <w:tc>
          <w:tcPr>
            <w:tcW w:w="6334" w:type="dxa"/>
          </w:tcPr>
          <w:p w:rsidR="002154E0" w:rsidRPr="00501C8E" w:rsidRDefault="002154E0" w:rsidP="002154E0">
            <w:pPr>
              <w:tabs>
                <w:tab w:val="left" w:pos="720"/>
              </w:tabs>
              <w:rPr>
                <w:rFonts w:ascii="Arial" w:hAnsi="Arial" w:cs="Arial"/>
                <w:sz w:val="22"/>
                <w:szCs w:val="22"/>
                <w:highlight w:val="yellow"/>
              </w:rPr>
            </w:pPr>
            <w:r w:rsidRPr="00501C8E">
              <w:rPr>
                <w:rStyle w:val="endsenrhsennumparatext"/>
                <w:rFonts w:ascii="Arial" w:hAnsi="Arial" w:cs="Arial"/>
                <w:sz w:val="22"/>
                <w:szCs w:val="22"/>
                <w:lang w:val="en"/>
              </w:rPr>
              <w:t>Ashford Locality Hub (CS Cttee – June 2016)</w:t>
            </w:r>
          </w:p>
        </w:tc>
        <w:tc>
          <w:tcPr>
            <w:tcW w:w="1276" w:type="dxa"/>
          </w:tcPr>
          <w:p w:rsidR="002154E0" w:rsidRPr="00501C8E" w:rsidRDefault="002154E0" w:rsidP="002154E0">
            <w:pPr>
              <w:tabs>
                <w:tab w:val="left" w:pos="720"/>
              </w:tabs>
              <w:jc w:val="right"/>
              <w:rPr>
                <w:rFonts w:ascii="Arial" w:hAnsi="Arial" w:cs="Arial"/>
                <w:sz w:val="22"/>
                <w:szCs w:val="22"/>
              </w:rPr>
            </w:pPr>
            <w:r w:rsidRPr="00501C8E">
              <w:rPr>
                <w:rFonts w:ascii="Arial" w:hAnsi="Arial" w:cs="Arial"/>
                <w:sz w:val="22"/>
                <w:szCs w:val="22"/>
              </w:rPr>
              <w:t>(10)</w:t>
            </w:r>
          </w:p>
        </w:tc>
        <w:tc>
          <w:tcPr>
            <w:tcW w:w="1276" w:type="dxa"/>
          </w:tcPr>
          <w:p w:rsidR="002154E0" w:rsidRPr="00501C8E" w:rsidRDefault="002154E0" w:rsidP="002154E0">
            <w:pPr>
              <w:tabs>
                <w:tab w:val="left" w:pos="720"/>
              </w:tabs>
              <w:jc w:val="right"/>
              <w:rPr>
                <w:rFonts w:ascii="Arial" w:hAnsi="Arial" w:cs="Arial"/>
                <w:sz w:val="22"/>
                <w:szCs w:val="22"/>
              </w:rPr>
            </w:pPr>
            <w:r w:rsidRPr="00501C8E">
              <w:rPr>
                <w:rFonts w:ascii="Arial" w:hAnsi="Arial" w:cs="Arial"/>
                <w:sz w:val="22"/>
                <w:szCs w:val="22"/>
              </w:rPr>
              <w:t>(22)</w:t>
            </w:r>
          </w:p>
        </w:tc>
      </w:tr>
      <w:tr w:rsidR="002154E0" w:rsidRPr="00501C8E" w:rsidTr="002154E0">
        <w:tc>
          <w:tcPr>
            <w:tcW w:w="6334" w:type="dxa"/>
          </w:tcPr>
          <w:p w:rsidR="002154E0" w:rsidRPr="00501C8E" w:rsidRDefault="002154E0" w:rsidP="002154E0">
            <w:pPr>
              <w:tabs>
                <w:tab w:val="left" w:pos="720"/>
              </w:tabs>
              <w:rPr>
                <w:rFonts w:ascii="Arial" w:hAnsi="Arial" w:cs="Arial"/>
                <w:sz w:val="22"/>
                <w:szCs w:val="22"/>
              </w:rPr>
            </w:pPr>
            <w:r w:rsidRPr="00501C8E">
              <w:rPr>
                <w:rStyle w:val="endsenrhsennumparatext"/>
                <w:rFonts w:ascii="Arial" w:hAnsi="Arial" w:cs="Arial"/>
                <w:sz w:val="22"/>
                <w:szCs w:val="22"/>
                <w:lang w:val="en"/>
              </w:rPr>
              <w:t>Surrey Heath Partnership (CS Cttee – June 2016)</w:t>
            </w:r>
          </w:p>
        </w:tc>
        <w:tc>
          <w:tcPr>
            <w:tcW w:w="1276" w:type="dxa"/>
          </w:tcPr>
          <w:p w:rsidR="002154E0" w:rsidRPr="00501C8E" w:rsidRDefault="002154E0" w:rsidP="002154E0">
            <w:pPr>
              <w:tabs>
                <w:tab w:val="left" w:pos="720"/>
              </w:tabs>
              <w:jc w:val="right"/>
              <w:rPr>
                <w:rFonts w:ascii="Arial" w:hAnsi="Arial" w:cs="Arial"/>
                <w:sz w:val="22"/>
                <w:szCs w:val="22"/>
              </w:rPr>
            </w:pPr>
            <w:r w:rsidRPr="00501C8E">
              <w:rPr>
                <w:rFonts w:ascii="Arial" w:hAnsi="Arial" w:cs="Arial"/>
                <w:sz w:val="22"/>
                <w:szCs w:val="22"/>
              </w:rPr>
              <w:t>(36)</w:t>
            </w:r>
          </w:p>
        </w:tc>
        <w:tc>
          <w:tcPr>
            <w:tcW w:w="1276" w:type="dxa"/>
          </w:tcPr>
          <w:p w:rsidR="002154E0" w:rsidRPr="00501C8E" w:rsidRDefault="002154E0" w:rsidP="002154E0">
            <w:pPr>
              <w:tabs>
                <w:tab w:val="left" w:pos="720"/>
              </w:tabs>
              <w:jc w:val="right"/>
              <w:rPr>
                <w:rFonts w:ascii="Arial" w:hAnsi="Arial" w:cs="Arial"/>
                <w:sz w:val="22"/>
                <w:szCs w:val="22"/>
              </w:rPr>
            </w:pPr>
            <w:r w:rsidRPr="00501C8E">
              <w:rPr>
                <w:rFonts w:ascii="Arial" w:hAnsi="Arial" w:cs="Arial"/>
                <w:sz w:val="22"/>
                <w:szCs w:val="22"/>
              </w:rPr>
              <w:t>(78)</w:t>
            </w:r>
          </w:p>
        </w:tc>
      </w:tr>
      <w:tr w:rsidR="002154E0" w:rsidRPr="00501C8E" w:rsidTr="002154E0">
        <w:tc>
          <w:tcPr>
            <w:tcW w:w="6334" w:type="dxa"/>
          </w:tcPr>
          <w:p w:rsidR="002154E0" w:rsidRPr="00501C8E" w:rsidRDefault="002154E0" w:rsidP="002154E0">
            <w:pPr>
              <w:tabs>
                <w:tab w:val="left" w:pos="720"/>
              </w:tabs>
              <w:rPr>
                <w:rStyle w:val="endsenrhsennumparatext"/>
                <w:rFonts w:ascii="Arial" w:hAnsi="Arial" w:cs="Arial"/>
                <w:sz w:val="22"/>
                <w:szCs w:val="22"/>
                <w:lang w:val="en"/>
              </w:rPr>
            </w:pPr>
            <w:r w:rsidRPr="00501C8E">
              <w:rPr>
                <w:rFonts w:ascii="Arial" w:hAnsi="Arial" w:cs="Arial"/>
                <w:sz w:val="22"/>
                <w:szCs w:val="22"/>
                <w:lang w:eastAsia="en-GB"/>
              </w:rPr>
              <w:t>Recycling – phased closure of bring sites (ES Cttee – June 2016)</w:t>
            </w:r>
          </w:p>
        </w:tc>
        <w:tc>
          <w:tcPr>
            <w:tcW w:w="1276" w:type="dxa"/>
          </w:tcPr>
          <w:p w:rsidR="002154E0" w:rsidRPr="00501C8E" w:rsidRDefault="002154E0" w:rsidP="002154E0">
            <w:pPr>
              <w:tabs>
                <w:tab w:val="left" w:pos="720"/>
              </w:tabs>
              <w:jc w:val="right"/>
              <w:rPr>
                <w:rFonts w:ascii="Arial" w:hAnsi="Arial" w:cs="Arial"/>
                <w:sz w:val="22"/>
                <w:szCs w:val="22"/>
              </w:rPr>
            </w:pPr>
            <w:r w:rsidRPr="00501C8E">
              <w:rPr>
                <w:rFonts w:ascii="Arial" w:hAnsi="Arial" w:cs="Arial"/>
                <w:sz w:val="22"/>
                <w:szCs w:val="22"/>
              </w:rPr>
              <w:t>(1)</w:t>
            </w:r>
          </w:p>
        </w:tc>
        <w:tc>
          <w:tcPr>
            <w:tcW w:w="1276" w:type="dxa"/>
          </w:tcPr>
          <w:p w:rsidR="002154E0" w:rsidRPr="00501C8E" w:rsidRDefault="002154E0" w:rsidP="002154E0">
            <w:pPr>
              <w:tabs>
                <w:tab w:val="left" w:pos="720"/>
              </w:tabs>
              <w:jc w:val="right"/>
              <w:rPr>
                <w:rFonts w:ascii="Arial" w:hAnsi="Arial" w:cs="Arial"/>
                <w:sz w:val="22"/>
                <w:szCs w:val="22"/>
              </w:rPr>
            </w:pPr>
            <w:r w:rsidRPr="00501C8E">
              <w:rPr>
                <w:rFonts w:ascii="Arial" w:hAnsi="Arial" w:cs="Arial"/>
                <w:sz w:val="22"/>
                <w:szCs w:val="22"/>
              </w:rPr>
              <w:t>(11)</w:t>
            </w:r>
          </w:p>
        </w:tc>
      </w:tr>
      <w:tr w:rsidR="002154E0" w:rsidRPr="00501C8E" w:rsidTr="002154E0">
        <w:tc>
          <w:tcPr>
            <w:tcW w:w="6334" w:type="dxa"/>
          </w:tcPr>
          <w:p w:rsidR="002154E0" w:rsidRPr="00501C8E" w:rsidRDefault="002154E0" w:rsidP="002154E0">
            <w:pPr>
              <w:tabs>
                <w:tab w:val="left" w:pos="720"/>
              </w:tabs>
              <w:rPr>
                <w:rStyle w:val="endsenrhsennumparatext"/>
                <w:rFonts w:ascii="Arial" w:hAnsi="Arial" w:cs="Arial"/>
                <w:sz w:val="22"/>
                <w:szCs w:val="22"/>
                <w:lang w:val="en"/>
              </w:rPr>
            </w:pPr>
          </w:p>
        </w:tc>
        <w:tc>
          <w:tcPr>
            <w:tcW w:w="1276" w:type="dxa"/>
          </w:tcPr>
          <w:p w:rsidR="002154E0" w:rsidRPr="00501C8E" w:rsidRDefault="002154E0" w:rsidP="002154E0">
            <w:pPr>
              <w:tabs>
                <w:tab w:val="left" w:pos="720"/>
              </w:tabs>
              <w:jc w:val="right"/>
              <w:rPr>
                <w:rFonts w:ascii="Arial" w:hAnsi="Arial" w:cs="Arial"/>
                <w:sz w:val="22"/>
                <w:szCs w:val="22"/>
              </w:rPr>
            </w:pPr>
          </w:p>
        </w:tc>
        <w:tc>
          <w:tcPr>
            <w:tcW w:w="1276" w:type="dxa"/>
          </w:tcPr>
          <w:p w:rsidR="002154E0" w:rsidRPr="00501C8E" w:rsidRDefault="002154E0" w:rsidP="002154E0">
            <w:pPr>
              <w:tabs>
                <w:tab w:val="left" w:pos="720"/>
              </w:tabs>
              <w:jc w:val="right"/>
              <w:rPr>
                <w:rFonts w:ascii="Arial" w:hAnsi="Arial" w:cs="Arial"/>
                <w:sz w:val="22"/>
                <w:szCs w:val="22"/>
              </w:rPr>
            </w:pPr>
          </w:p>
        </w:tc>
      </w:tr>
      <w:tr w:rsidR="002154E0" w:rsidRPr="00501C8E" w:rsidTr="002154E0">
        <w:tc>
          <w:tcPr>
            <w:tcW w:w="6334" w:type="dxa"/>
          </w:tcPr>
          <w:p w:rsidR="002154E0" w:rsidRPr="00501C8E" w:rsidRDefault="002154E0" w:rsidP="002154E0">
            <w:pPr>
              <w:tabs>
                <w:tab w:val="left" w:pos="720"/>
              </w:tabs>
              <w:rPr>
                <w:rFonts w:ascii="Arial" w:hAnsi="Arial" w:cs="Arial"/>
                <w:b/>
                <w:sz w:val="22"/>
                <w:szCs w:val="22"/>
              </w:rPr>
            </w:pPr>
            <w:r w:rsidRPr="00501C8E">
              <w:rPr>
                <w:rFonts w:ascii="Arial" w:hAnsi="Arial" w:cs="Arial"/>
                <w:b/>
                <w:sz w:val="22"/>
                <w:szCs w:val="22"/>
              </w:rPr>
              <w:t>Savings still to be identified</w:t>
            </w:r>
          </w:p>
        </w:tc>
        <w:tc>
          <w:tcPr>
            <w:tcW w:w="1276" w:type="dxa"/>
          </w:tcPr>
          <w:p w:rsidR="002154E0" w:rsidRPr="00501C8E" w:rsidRDefault="002154E0" w:rsidP="002154E0">
            <w:pPr>
              <w:tabs>
                <w:tab w:val="left" w:pos="720"/>
              </w:tabs>
              <w:jc w:val="right"/>
              <w:rPr>
                <w:rFonts w:ascii="Arial" w:hAnsi="Arial" w:cs="Arial"/>
                <w:b/>
                <w:sz w:val="22"/>
                <w:szCs w:val="22"/>
              </w:rPr>
            </w:pPr>
            <w:r w:rsidRPr="00501C8E">
              <w:rPr>
                <w:rFonts w:ascii="Arial" w:hAnsi="Arial" w:cs="Arial"/>
                <w:b/>
                <w:sz w:val="22"/>
                <w:szCs w:val="22"/>
              </w:rPr>
              <w:t>253</w:t>
            </w:r>
          </w:p>
        </w:tc>
        <w:tc>
          <w:tcPr>
            <w:tcW w:w="1276" w:type="dxa"/>
          </w:tcPr>
          <w:p w:rsidR="002154E0" w:rsidRPr="00501C8E" w:rsidRDefault="002154E0" w:rsidP="002154E0">
            <w:pPr>
              <w:tabs>
                <w:tab w:val="left" w:pos="720"/>
              </w:tabs>
              <w:jc w:val="right"/>
              <w:rPr>
                <w:rFonts w:ascii="Arial" w:hAnsi="Arial" w:cs="Arial"/>
                <w:b/>
                <w:sz w:val="22"/>
                <w:szCs w:val="22"/>
              </w:rPr>
            </w:pPr>
            <w:r w:rsidRPr="00501C8E">
              <w:rPr>
                <w:rFonts w:ascii="Arial" w:hAnsi="Arial" w:cs="Arial"/>
                <w:b/>
                <w:sz w:val="22"/>
                <w:szCs w:val="22"/>
              </w:rPr>
              <w:t>489</w:t>
            </w:r>
          </w:p>
        </w:tc>
      </w:tr>
    </w:tbl>
    <w:p w:rsidR="002154E0" w:rsidRPr="00501C8E" w:rsidRDefault="002154E0" w:rsidP="002154E0">
      <w:pPr>
        <w:rPr>
          <w:rFonts w:ascii="Arial" w:hAnsi="Arial" w:cs="Arial"/>
          <w:sz w:val="22"/>
          <w:szCs w:val="22"/>
        </w:rPr>
      </w:pPr>
      <w:r w:rsidRPr="00501C8E">
        <w:rPr>
          <w:rFonts w:ascii="Arial" w:hAnsi="Arial" w:cs="Arial"/>
          <w:sz w:val="22"/>
          <w:szCs w:val="22"/>
        </w:rPr>
        <w:t xml:space="preserve">  </w:t>
      </w:r>
    </w:p>
    <w:p w:rsidR="002154E0" w:rsidRPr="00501C8E" w:rsidRDefault="002154E0" w:rsidP="002154E0">
      <w:pPr>
        <w:ind w:left="709" w:hanging="709"/>
        <w:rPr>
          <w:rFonts w:ascii="Arial" w:hAnsi="Arial" w:cs="Arial"/>
          <w:sz w:val="22"/>
          <w:szCs w:val="22"/>
        </w:rPr>
      </w:pPr>
      <w:r w:rsidRPr="00501C8E">
        <w:rPr>
          <w:rFonts w:ascii="Arial" w:hAnsi="Arial" w:cs="Arial"/>
          <w:sz w:val="22"/>
          <w:szCs w:val="22"/>
        </w:rPr>
        <w:tab/>
        <w:t>Due to the sensitivity of some of the identified savings, additional investment properties have been purchased in the year to help produce immediate savings whilst the CLT list is developed more fully.</w:t>
      </w:r>
    </w:p>
    <w:p w:rsidR="002154E0" w:rsidRPr="00501C8E" w:rsidRDefault="002154E0" w:rsidP="00F21659">
      <w:pPr>
        <w:tabs>
          <w:tab w:val="left" w:pos="720"/>
        </w:tabs>
        <w:ind w:left="720" w:hanging="720"/>
        <w:rPr>
          <w:rFonts w:ascii="Arial" w:hAnsi="Arial" w:cs="Arial"/>
          <w:sz w:val="22"/>
          <w:szCs w:val="22"/>
        </w:rPr>
      </w:pPr>
    </w:p>
    <w:p w:rsidR="00FF1A4F" w:rsidRPr="00501C8E" w:rsidRDefault="00FF1A4F" w:rsidP="00FF1A4F">
      <w:pPr>
        <w:pStyle w:val="ListParagraph"/>
        <w:numPr>
          <w:ilvl w:val="1"/>
          <w:numId w:val="43"/>
        </w:numPr>
        <w:tabs>
          <w:tab w:val="left" w:pos="720"/>
        </w:tabs>
        <w:ind w:left="709" w:hanging="709"/>
        <w:rPr>
          <w:rFonts w:ascii="Arial" w:hAnsi="Arial" w:cs="Arial"/>
          <w:sz w:val="22"/>
          <w:szCs w:val="22"/>
        </w:rPr>
      </w:pPr>
      <w:r w:rsidRPr="00501C8E">
        <w:rPr>
          <w:rFonts w:ascii="Arial" w:hAnsi="Arial" w:cs="Arial"/>
          <w:sz w:val="22"/>
          <w:szCs w:val="22"/>
        </w:rPr>
        <w:t xml:space="preserve">The table set out below shows the performance of the </w:t>
      </w:r>
      <w:r w:rsidR="00455FD7">
        <w:rPr>
          <w:rFonts w:ascii="Arial" w:hAnsi="Arial" w:cs="Arial"/>
          <w:sz w:val="22"/>
          <w:szCs w:val="22"/>
        </w:rPr>
        <w:t>C</w:t>
      </w:r>
      <w:r w:rsidRPr="00501C8E">
        <w:rPr>
          <w:rFonts w:ascii="Arial" w:hAnsi="Arial" w:cs="Arial"/>
          <w:sz w:val="22"/>
          <w:szCs w:val="22"/>
        </w:rPr>
        <w:t>ouncil’s key income drivers.  Where these are anticipated to vary significantly from the budget, an estimate of the year end effect has been included in table 2 above accordingly.</w:t>
      </w:r>
    </w:p>
    <w:p w:rsidR="00FF1A4F" w:rsidRPr="00501C8E" w:rsidRDefault="00FF1A4F" w:rsidP="00FF1A4F">
      <w:pPr>
        <w:tabs>
          <w:tab w:val="left" w:pos="720"/>
        </w:tabs>
        <w:ind w:left="720" w:hanging="720"/>
        <w:rPr>
          <w:rFonts w:ascii="Arial" w:hAnsi="Arial" w:cs="Arial"/>
          <w:sz w:val="22"/>
          <w:szCs w:val="22"/>
        </w:rPr>
      </w:pPr>
    </w:p>
    <w:tbl>
      <w:tblPr>
        <w:tblW w:w="7502"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3878"/>
        <w:gridCol w:w="1174"/>
        <w:gridCol w:w="1174"/>
        <w:gridCol w:w="1276"/>
      </w:tblGrid>
      <w:tr w:rsidR="00FF1A4F" w:rsidRPr="00501C8E" w:rsidTr="001B5CCA">
        <w:trPr>
          <w:trHeight w:val="255"/>
        </w:trPr>
        <w:tc>
          <w:tcPr>
            <w:tcW w:w="7502" w:type="dxa"/>
            <w:gridSpan w:val="4"/>
            <w:shd w:val="clear" w:color="auto" w:fill="BFBFBF" w:themeFill="background1" w:themeFillShade="BF"/>
            <w:noWrap/>
            <w:vAlign w:val="center"/>
          </w:tcPr>
          <w:p w:rsidR="00FF1A4F" w:rsidRPr="00501C8E" w:rsidRDefault="00FF1A4F" w:rsidP="001B5CCA">
            <w:pPr>
              <w:tabs>
                <w:tab w:val="left" w:pos="720"/>
              </w:tabs>
              <w:ind w:left="720" w:hanging="720"/>
              <w:jc w:val="center"/>
              <w:rPr>
                <w:rFonts w:ascii="Arial" w:hAnsi="Arial" w:cs="Arial"/>
                <w:sz w:val="22"/>
                <w:szCs w:val="22"/>
                <w:lang w:eastAsia="en-GB"/>
              </w:rPr>
            </w:pPr>
            <w:r w:rsidRPr="00501C8E">
              <w:rPr>
                <w:rFonts w:ascii="Arial" w:hAnsi="Arial" w:cs="Arial"/>
                <w:b/>
                <w:bCs/>
                <w:sz w:val="22"/>
                <w:szCs w:val="22"/>
                <w:lang w:eastAsia="en-GB"/>
              </w:rPr>
              <w:t>Table 5 - Performance of key income drivers 2016/17</w:t>
            </w:r>
          </w:p>
        </w:tc>
      </w:tr>
      <w:tr w:rsidR="00FF1A4F" w:rsidRPr="00501C8E" w:rsidTr="001B5CCA">
        <w:trPr>
          <w:trHeight w:val="255"/>
        </w:trPr>
        <w:tc>
          <w:tcPr>
            <w:tcW w:w="3946" w:type="dxa"/>
            <w:shd w:val="clear" w:color="auto" w:fill="auto"/>
            <w:vAlign w:val="center"/>
          </w:tcPr>
          <w:p w:rsidR="00FF1A4F" w:rsidRPr="00501C8E" w:rsidRDefault="00FF1A4F" w:rsidP="001B5CCA">
            <w:pPr>
              <w:tabs>
                <w:tab w:val="left" w:pos="720"/>
              </w:tabs>
              <w:ind w:left="720" w:hanging="720"/>
              <w:rPr>
                <w:rFonts w:ascii="Arial" w:hAnsi="Arial" w:cs="Arial"/>
                <w:sz w:val="22"/>
                <w:szCs w:val="22"/>
                <w:lang w:eastAsia="en-GB"/>
              </w:rPr>
            </w:pPr>
          </w:p>
        </w:tc>
        <w:tc>
          <w:tcPr>
            <w:tcW w:w="1140" w:type="dxa"/>
            <w:shd w:val="clear" w:color="auto" w:fill="auto"/>
            <w:vAlign w:val="center"/>
          </w:tcPr>
          <w:p w:rsidR="00FF1A4F" w:rsidRPr="00501C8E" w:rsidRDefault="00FF1A4F" w:rsidP="001B5CCA">
            <w:pPr>
              <w:tabs>
                <w:tab w:val="left" w:pos="720"/>
              </w:tabs>
              <w:ind w:left="720" w:hanging="720"/>
              <w:jc w:val="center"/>
              <w:rPr>
                <w:rFonts w:ascii="Arial" w:hAnsi="Arial" w:cs="Arial"/>
                <w:b/>
                <w:sz w:val="22"/>
                <w:szCs w:val="22"/>
                <w:lang w:eastAsia="en-GB"/>
              </w:rPr>
            </w:pPr>
            <w:r w:rsidRPr="00501C8E">
              <w:rPr>
                <w:rFonts w:ascii="Arial" w:hAnsi="Arial" w:cs="Arial"/>
                <w:b/>
                <w:sz w:val="22"/>
                <w:szCs w:val="22"/>
                <w:lang w:eastAsia="en-GB"/>
              </w:rPr>
              <w:t>Original</w:t>
            </w:r>
          </w:p>
          <w:p w:rsidR="00FF1A4F" w:rsidRPr="00501C8E" w:rsidRDefault="00FF1A4F" w:rsidP="001B5CCA">
            <w:pPr>
              <w:tabs>
                <w:tab w:val="left" w:pos="720"/>
              </w:tabs>
              <w:ind w:left="720" w:hanging="720"/>
              <w:jc w:val="center"/>
              <w:rPr>
                <w:rFonts w:ascii="Arial" w:hAnsi="Arial" w:cs="Arial"/>
                <w:b/>
                <w:sz w:val="22"/>
                <w:szCs w:val="22"/>
                <w:lang w:eastAsia="en-GB"/>
              </w:rPr>
            </w:pPr>
            <w:r w:rsidRPr="00501C8E">
              <w:rPr>
                <w:rFonts w:ascii="Arial" w:hAnsi="Arial" w:cs="Arial"/>
                <w:b/>
                <w:sz w:val="22"/>
                <w:szCs w:val="22"/>
                <w:lang w:eastAsia="en-GB"/>
              </w:rPr>
              <w:t>Budget</w:t>
            </w:r>
          </w:p>
          <w:p w:rsidR="00FF1A4F" w:rsidRPr="00501C8E" w:rsidRDefault="00FF1A4F" w:rsidP="001B5CCA">
            <w:pPr>
              <w:ind w:left="720" w:hanging="720"/>
              <w:jc w:val="center"/>
              <w:rPr>
                <w:rFonts w:ascii="Arial" w:hAnsi="Arial" w:cs="Arial"/>
                <w:b/>
                <w:sz w:val="22"/>
                <w:szCs w:val="22"/>
                <w:lang w:eastAsia="en-GB"/>
              </w:rPr>
            </w:pPr>
            <w:r w:rsidRPr="00501C8E">
              <w:rPr>
                <w:rFonts w:ascii="Arial" w:hAnsi="Arial" w:cs="Arial"/>
                <w:b/>
                <w:sz w:val="22"/>
                <w:szCs w:val="22"/>
                <w:lang w:eastAsia="en-GB"/>
              </w:rPr>
              <w:t>£000</w:t>
            </w:r>
          </w:p>
        </w:tc>
        <w:tc>
          <w:tcPr>
            <w:tcW w:w="1140" w:type="dxa"/>
            <w:tcBorders>
              <w:bottom w:val="dotted" w:sz="4" w:space="0" w:color="auto"/>
            </w:tcBorders>
            <w:shd w:val="clear" w:color="auto" w:fill="auto"/>
            <w:noWrap/>
            <w:vAlign w:val="bottom"/>
          </w:tcPr>
          <w:p w:rsidR="00FF1A4F" w:rsidRPr="00501C8E" w:rsidRDefault="00FF1A4F" w:rsidP="001B5CCA">
            <w:pPr>
              <w:tabs>
                <w:tab w:val="left" w:pos="720"/>
              </w:tabs>
              <w:ind w:left="720" w:hanging="720"/>
              <w:jc w:val="center"/>
              <w:rPr>
                <w:rFonts w:ascii="Arial" w:hAnsi="Arial" w:cs="Arial"/>
                <w:b/>
                <w:bCs/>
                <w:sz w:val="22"/>
                <w:szCs w:val="22"/>
                <w:lang w:eastAsia="en-GB"/>
              </w:rPr>
            </w:pPr>
            <w:r w:rsidRPr="00501C8E">
              <w:rPr>
                <w:rFonts w:ascii="Arial" w:hAnsi="Arial" w:cs="Arial"/>
                <w:b/>
                <w:bCs/>
                <w:sz w:val="22"/>
                <w:szCs w:val="22"/>
                <w:lang w:eastAsia="en-GB"/>
              </w:rPr>
              <w:t>Profiled</w:t>
            </w:r>
          </w:p>
          <w:p w:rsidR="00FF1A4F" w:rsidRPr="00501C8E" w:rsidRDefault="00FF1A4F" w:rsidP="001B5CCA">
            <w:pPr>
              <w:tabs>
                <w:tab w:val="left" w:pos="720"/>
              </w:tabs>
              <w:ind w:left="720" w:hanging="720"/>
              <w:jc w:val="center"/>
              <w:rPr>
                <w:rFonts w:ascii="Arial" w:hAnsi="Arial" w:cs="Arial"/>
                <w:b/>
                <w:bCs/>
                <w:sz w:val="22"/>
                <w:szCs w:val="22"/>
                <w:lang w:eastAsia="en-GB"/>
              </w:rPr>
            </w:pPr>
            <w:r w:rsidRPr="00501C8E">
              <w:rPr>
                <w:rFonts w:ascii="Arial" w:hAnsi="Arial" w:cs="Arial"/>
                <w:b/>
                <w:bCs/>
                <w:sz w:val="22"/>
                <w:szCs w:val="22"/>
                <w:lang w:eastAsia="en-GB"/>
              </w:rPr>
              <w:t>Budget</w:t>
            </w:r>
          </w:p>
          <w:p w:rsidR="00FF1A4F" w:rsidRPr="00501C8E" w:rsidRDefault="00FF1A4F" w:rsidP="001B5CCA">
            <w:pPr>
              <w:tabs>
                <w:tab w:val="left" w:pos="720"/>
              </w:tabs>
              <w:ind w:left="720" w:hanging="720"/>
              <w:jc w:val="center"/>
              <w:rPr>
                <w:rFonts w:ascii="Arial" w:hAnsi="Arial" w:cs="Arial"/>
                <w:b/>
                <w:bCs/>
                <w:sz w:val="22"/>
                <w:szCs w:val="22"/>
                <w:lang w:eastAsia="en-GB"/>
              </w:rPr>
            </w:pPr>
            <w:r w:rsidRPr="00501C8E">
              <w:rPr>
                <w:rFonts w:ascii="Arial" w:hAnsi="Arial" w:cs="Arial"/>
                <w:b/>
                <w:bCs/>
                <w:sz w:val="22"/>
                <w:szCs w:val="22"/>
                <w:lang w:eastAsia="en-GB"/>
              </w:rPr>
              <w:t>£000</w:t>
            </w:r>
          </w:p>
        </w:tc>
        <w:tc>
          <w:tcPr>
            <w:tcW w:w="1276" w:type="dxa"/>
            <w:tcBorders>
              <w:bottom w:val="dotted" w:sz="4" w:space="0" w:color="auto"/>
            </w:tcBorders>
            <w:shd w:val="clear" w:color="auto" w:fill="auto"/>
            <w:noWrap/>
            <w:vAlign w:val="bottom"/>
          </w:tcPr>
          <w:p w:rsidR="00FF1A4F" w:rsidRPr="00501C8E" w:rsidRDefault="00FF1A4F" w:rsidP="001B5CCA">
            <w:pPr>
              <w:tabs>
                <w:tab w:val="left" w:pos="720"/>
              </w:tabs>
              <w:ind w:left="720" w:hanging="720"/>
              <w:jc w:val="center"/>
              <w:rPr>
                <w:rFonts w:ascii="Arial" w:hAnsi="Arial" w:cs="Arial"/>
                <w:b/>
                <w:bCs/>
                <w:sz w:val="22"/>
                <w:szCs w:val="22"/>
                <w:lang w:eastAsia="en-GB"/>
              </w:rPr>
            </w:pPr>
            <w:r w:rsidRPr="00501C8E">
              <w:rPr>
                <w:rFonts w:ascii="Arial" w:hAnsi="Arial" w:cs="Arial"/>
                <w:b/>
                <w:bCs/>
                <w:sz w:val="22"/>
                <w:szCs w:val="22"/>
                <w:lang w:eastAsia="en-GB"/>
              </w:rPr>
              <w:t>Actual</w:t>
            </w:r>
          </w:p>
          <w:p w:rsidR="00FF1A4F" w:rsidRPr="00501C8E" w:rsidRDefault="00FF1A4F" w:rsidP="001B5CCA">
            <w:pPr>
              <w:tabs>
                <w:tab w:val="left" w:pos="720"/>
              </w:tabs>
              <w:ind w:left="720" w:hanging="720"/>
              <w:jc w:val="center"/>
              <w:rPr>
                <w:rFonts w:ascii="Arial" w:hAnsi="Arial" w:cs="Arial"/>
                <w:b/>
                <w:bCs/>
                <w:sz w:val="22"/>
                <w:szCs w:val="22"/>
                <w:lang w:eastAsia="en-GB"/>
              </w:rPr>
            </w:pPr>
            <w:r w:rsidRPr="00501C8E">
              <w:rPr>
                <w:rFonts w:ascii="Arial" w:hAnsi="Arial" w:cs="Arial"/>
                <w:b/>
                <w:bCs/>
                <w:sz w:val="22"/>
                <w:szCs w:val="22"/>
                <w:lang w:eastAsia="en-GB"/>
              </w:rPr>
              <w:t>to Date</w:t>
            </w:r>
          </w:p>
          <w:p w:rsidR="00FF1A4F" w:rsidRPr="00501C8E" w:rsidRDefault="00FF1A4F" w:rsidP="001B5CCA">
            <w:pPr>
              <w:tabs>
                <w:tab w:val="left" w:pos="720"/>
              </w:tabs>
              <w:ind w:left="720" w:hanging="720"/>
              <w:jc w:val="center"/>
              <w:rPr>
                <w:rFonts w:ascii="Arial" w:hAnsi="Arial" w:cs="Arial"/>
                <w:b/>
                <w:bCs/>
                <w:sz w:val="22"/>
                <w:szCs w:val="22"/>
                <w:lang w:eastAsia="en-GB"/>
              </w:rPr>
            </w:pPr>
            <w:r w:rsidRPr="00501C8E">
              <w:rPr>
                <w:rFonts w:ascii="Arial" w:hAnsi="Arial" w:cs="Arial"/>
                <w:b/>
                <w:bCs/>
                <w:sz w:val="22"/>
                <w:szCs w:val="22"/>
                <w:lang w:eastAsia="en-GB"/>
              </w:rPr>
              <w:t>£000</w:t>
            </w:r>
          </w:p>
        </w:tc>
      </w:tr>
      <w:tr w:rsidR="00FF1A4F" w:rsidRPr="00501C8E" w:rsidTr="001B5CCA">
        <w:trPr>
          <w:trHeight w:val="255"/>
        </w:trPr>
        <w:tc>
          <w:tcPr>
            <w:tcW w:w="3946" w:type="dxa"/>
            <w:shd w:val="clear" w:color="auto" w:fill="auto"/>
            <w:vAlign w:val="bottom"/>
          </w:tcPr>
          <w:p w:rsidR="00FF1A4F" w:rsidRPr="00501C8E" w:rsidRDefault="00FF1A4F" w:rsidP="001B5CCA">
            <w:pPr>
              <w:tabs>
                <w:tab w:val="left" w:pos="522"/>
              </w:tabs>
              <w:rPr>
                <w:rFonts w:ascii="Arial" w:hAnsi="Arial" w:cs="Arial"/>
                <w:sz w:val="22"/>
                <w:szCs w:val="22"/>
                <w:lang w:eastAsia="en-GB"/>
              </w:rPr>
            </w:pPr>
            <w:r w:rsidRPr="00501C8E">
              <w:rPr>
                <w:rFonts w:ascii="Arial" w:hAnsi="Arial" w:cs="Arial"/>
                <w:sz w:val="22"/>
                <w:szCs w:val="22"/>
                <w:lang w:eastAsia="en-GB"/>
              </w:rPr>
              <w:t>Halls income</w:t>
            </w:r>
          </w:p>
        </w:tc>
        <w:tc>
          <w:tcPr>
            <w:tcW w:w="1140" w:type="dxa"/>
            <w:shd w:val="clear" w:color="auto" w:fill="auto"/>
            <w:vAlign w:val="bottom"/>
          </w:tcPr>
          <w:p w:rsidR="00FF1A4F" w:rsidRPr="00501C8E" w:rsidRDefault="00FF1A4F" w:rsidP="001B5CCA">
            <w:pPr>
              <w:tabs>
                <w:tab w:val="left" w:pos="522"/>
              </w:tabs>
              <w:ind w:left="590"/>
              <w:jc w:val="right"/>
              <w:rPr>
                <w:rFonts w:ascii="Arial" w:hAnsi="Arial" w:cs="Arial"/>
                <w:sz w:val="22"/>
                <w:szCs w:val="22"/>
                <w:lang w:eastAsia="en-GB"/>
              </w:rPr>
            </w:pPr>
            <w:r w:rsidRPr="00501C8E">
              <w:rPr>
                <w:rFonts w:ascii="Arial" w:hAnsi="Arial" w:cs="Arial"/>
                <w:sz w:val="22"/>
                <w:szCs w:val="22"/>
                <w:lang w:eastAsia="en-GB"/>
              </w:rPr>
              <w:t>169</w:t>
            </w:r>
          </w:p>
        </w:tc>
        <w:tc>
          <w:tcPr>
            <w:tcW w:w="1140" w:type="dxa"/>
            <w:shd w:val="clear" w:color="auto" w:fill="auto"/>
            <w:noWrap/>
            <w:vAlign w:val="bottom"/>
          </w:tcPr>
          <w:p w:rsidR="00FF1A4F" w:rsidRPr="00501C8E" w:rsidRDefault="00FF1A4F" w:rsidP="001B5CCA">
            <w:pPr>
              <w:tabs>
                <w:tab w:val="left" w:pos="522"/>
              </w:tabs>
              <w:ind w:left="590"/>
              <w:jc w:val="right"/>
              <w:rPr>
                <w:rFonts w:ascii="Arial" w:hAnsi="Arial" w:cs="Arial"/>
                <w:sz w:val="22"/>
                <w:szCs w:val="22"/>
                <w:lang w:eastAsia="en-GB"/>
              </w:rPr>
            </w:pPr>
            <w:r w:rsidRPr="00501C8E">
              <w:rPr>
                <w:rFonts w:ascii="Arial" w:hAnsi="Arial" w:cs="Arial"/>
                <w:sz w:val="22"/>
                <w:szCs w:val="22"/>
                <w:lang w:eastAsia="en-GB"/>
              </w:rPr>
              <w:t>100</w:t>
            </w:r>
          </w:p>
        </w:tc>
        <w:tc>
          <w:tcPr>
            <w:tcW w:w="1276" w:type="dxa"/>
            <w:shd w:val="clear" w:color="auto" w:fill="auto"/>
            <w:noWrap/>
            <w:vAlign w:val="bottom"/>
          </w:tcPr>
          <w:p w:rsidR="00FF1A4F" w:rsidRPr="00501C8E" w:rsidRDefault="00FF1A4F" w:rsidP="001B5CCA">
            <w:pPr>
              <w:tabs>
                <w:tab w:val="left" w:pos="522"/>
              </w:tabs>
              <w:ind w:left="590"/>
              <w:jc w:val="right"/>
              <w:rPr>
                <w:rFonts w:ascii="Arial" w:hAnsi="Arial" w:cs="Arial"/>
                <w:sz w:val="22"/>
                <w:szCs w:val="22"/>
                <w:lang w:eastAsia="en-GB"/>
              </w:rPr>
            </w:pPr>
            <w:r w:rsidRPr="00501C8E">
              <w:rPr>
                <w:rFonts w:ascii="Arial" w:hAnsi="Arial" w:cs="Arial"/>
                <w:sz w:val="22"/>
                <w:szCs w:val="22"/>
                <w:lang w:eastAsia="en-GB"/>
              </w:rPr>
              <w:t>75</w:t>
            </w:r>
          </w:p>
        </w:tc>
      </w:tr>
      <w:tr w:rsidR="00FF1A4F" w:rsidRPr="00501C8E" w:rsidTr="001B5CCA">
        <w:trPr>
          <w:trHeight w:val="242"/>
        </w:trPr>
        <w:tc>
          <w:tcPr>
            <w:tcW w:w="3946" w:type="dxa"/>
            <w:shd w:val="clear" w:color="auto" w:fill="auto"/>
            <w:vAlign w:val="bottom"/>
          </w:tcPr>
          <w:p w:rsidR="00FF1A4F" w:rsidRPr="00501C8E" w:rsidRDefault="00FF1A4F" w:rsidP="001B5CCA">
            <w:pPr>
              <w:tabs>
                <w:tab w:val="left" w:pos="522"/>
              </w:tabs>
              <w:rPr>
                <w:rFonts w:ascii="Arial" w:hAnsi="Arial" w:cs="Arial"/>
                <w:sz w:val="22"/>
                <w:szCs w:val="22"/>
                <w:lang w:eastAsia="en-GB"/>
              </w:rPr>
            </w:pPr>
            <w:r w:rsidRPr="00501C8E">
              <w:rPr>
                <w:rFonts w:ascii="Arial" w:hAnsi="Arial" w:cs="Arial"/>
                <w:sz w:val="22"/>
                <w:szCs w:val="22"/>
                <w:lang w:eastAsia="en-GB"/>
              </w:rPr>
              <w:t>Cemetery income</w:t>
            </w:r>
          </w:p>
        </w:tc>
        <w:tc>
          <w:tcPr>
            <w:tcW w:w="1140" w:type="dxa"/>
            <w:shd w:val="clear" w:color="auto" w:fill="auto"/>
            <w:vAlign w:val="bottom"/>
          </w:tcPr>
          <w:p w:rsidR="00FF1A4F" w:rsidRPr="00501C8E" w:rsidRDefault="00FF1A4F" w:rsidP="001B5CCA">
            <w:pPr>
              <w:tabs>
                <w:tab w:val="left" w:pos="522"/>
              </w:tabs>
              <w:ind w:left="590"/>
              <w:jc w:val="right"/>
              <w:rPr>
                <w:rFonts w:ascii="Arial" w:hAnsi="Arial" w:cs="Arial"/>
                <w:sz w:val="22"/>
                <w:szCs w:val="22"/>
                <w:lang w:eastAsia="en-GB"/>
              </w:rPr>
            </w:pPr>
            <w:r w:rsidRPr="00501C8E">
              <w:rPr>
                <w:rFonts w:ascii="Arial" w:hAnsi="Arial" w:cs="Arial"/>
                <w:sz w:val="22"/>
                <w:szCs w:val="22"/>
                <w:lang w:eastAsia="en-GB"/>
              </w:rPr>
              <w:t>177</w:t>
            </w:r>
          </w:p>
        </w:tc>
        <w:tc>
          <w:tcPr>
            <w:tcW w:w="1140" w:type="dxa"/>
            <w:shd w:val="clear" w:color="auto" w:fill="auto"/>
            <w:noWrap/>
            <w:vAlign w:val="bottom"/>
          </w:tcPr>
          <w:p w:rsidR="00FF1A4F" w:rsidRPr="00501C8E" w:rsidRDefault="00FF1A4F" w:rsidP="001B5CCA">
            <w:pPr>
              <w:tabs>
                <w:tab w:val="left" w:pos="522"/>
              </w:tabs>
              <w:ind w:left="590"/>
              <w:jc w:val="right"/>
              <w:rPr>
                <w:rFonts w:ascii="Arial" w:hAnsi="Arial" w:cs="Arial"/>
                <w:sz w:val="22"/>
                <w:szCs w:val="22"/>
                <w:lang w:eastAsia="en-GB"/>
              </w:rPr>
            </w:pPr>
            <w:r w:rsidRPr="00501C8E">
              <w:rPr>
                <w:rFonts w:ascii="Arial" w:hAnsi="Arial" w:cs="Arial"/>
                <w:sz w:val="22"/>
                <w:szCs w:val="22"/>
                <w:lang w:eastAsia="en-GB"/>
              </w:rPr>
              <w:t>72</w:t>
            </w:r>
          </w:p>
        </w:tc>
        <w:tc>
          <w:tcPr>
            <w:tcW w:w="1276" w:type="dxa"/>
            <w:shd w:val="clear" w:color="auto" w:fill="auto"/>
            <w:noWrap/>
            <w:vAlign w:val="bottom"/>
          </w:tcPr>
          <w:p w:rsidR="00FF1A4F" w:rsidRPr="00501C8E" w:rsidRDefault="00FF1A4F" w:rsidP="001B5CCA">
            <w:pPr>
              <w:tabs>
                <w:tab w:val="left" w:pos="522"/>
              </w:tabs>
              <w:ind w:left="590"/>
              <w:jc w:val="right"/>
              <w:rPr>
                <w:rFonts w:ascii="Arial" w:hAnsi="Arial" w:cs="Arial"/>
                <w:sz w:val="22"/>
                <w:szCs w:val="22"/>
                <w:lang w:eastAsia="en-GB"/>
              </w:rPr>
            </w:pPr>
            <w:r w:rsidRPr="00501C8E">
              <w:rPr>
                <w:rFonts w:ascii="Arial" w:hAnsi="Arial" w:cs="Arial"/>
                <w:sz w:val="22"/>
                <w:szCs w:val="22"/>
                <w:lang w:eastAsia="en-GB"/>
              </w:rPr>
              <w:t>135</w:t>
            </w:r>
          </w:p>
        </w:tc>
      </w:tr>
      <w:tr w:rsidR="00FF1A4F" w:rsidRPr="00501C8E" w:rsidTr="001B5CCA">
        <w:trPr>
          <w:trHeight w:val="255"/>
        </w:trPr>
        <w:tc>
          <w:tcPr>
            <w:tcW w:w="3946" w:type="dxa"/>
            <w:shd w:val="clear" w:color="auto" w:fill="auto"/>
            <w:vAlign w:val="bottom"/>
          </w:tcPr>
          <w:p w:rsidR="00FF1A4F" w:rsidRPr="00501C8E" w:rsidRDefault="00FF1A4F" w:rsidP="001B5CCA">
            <w:pPr>
              <w:tabs>
                <w:tab w:val="left" w:pos="522"/>
              </w:tabs>
              <w:rPr>
                <w:rFonts w:ascii="Arial" w:hAnsi="Arial" w:cs="Arial"/>
                <w:sz w:val="22"/>
                <w:szCs w:val="22"/>
                <w:lang w:eastAsia="en-GB"/>
              </w:rPr>
            </w:pPr>
            <w:r w:rsidRPr="00501C8E">
              <w:rPr>
                <w:rFonts w:ascii="Arial" w:hAnsi="Arial" w:cs="Arial"/>
                <w:sz w:val="22"/>
                <w:szCs w:val="22"/>
                <w:lang w:eastAsia="en-GB"/>
              </w:rPr>
              <w:t>Community meals</w:t>
            </w:r>
          </w:p>
        </w:tc>
        <w:tc>
          <w:tcPr>
            <w:tcW w:w="1140" w:type="dxa"/>
            <w:shd w:val="clear" w:color="auto" w:fill="auto"/>
            <w:vAlign w:val="bottom"/>
          </w:tcPr>
          <w:p w:rsidR="00FF1A4F" w:rsidRPr="00501C8E" w:rsidRDefault="00FF1A4F" w:rsidP="001B5CCA">
            <w:pPr>
              <w:tabs>
                <w:tab w:val="left" w:pos="522"/>
              </w:tabs>
              <w:ind w:left="590"/>
              <w:jc w:val="right"/>
              <w:rPr>
                <w:rFonts w:ascii="Arial" w:hAnsi="Arial" w:cs="Arial"/>
                <w:sz w:val="22"/>
                <w:szCs w:val="22"/>
                <w:lang w:eastAsia="en-GB"/>
              </w:rPr>
            </w:pPr>
            <w:r w:rsidRPr="00501C8E">
              <w:rPr>
                <w:rFonts w:ascii="Arial" w:hAnsi="Arial" w:cs="Arial"/>
                <w:sz w:val="22"/>
                <w:szCs w:val="22"/>
                <w:lang w:eastAsia="en-GB"/>
              </w:rPr>
              <w:t>164</w:t>
            </w:r>
          </w:p>
        </w:tc>
        <w:tc>
          <w:tcPr>
            <w:tcW w:w="1140" w:type="dxa"/>
            <w:shd w:val="clear" w:color="auto" w:fill="auto"/>
            <w:noWrap/>
            <w:vAlign w:val="bottom"/>
          </w:tcPr>
          <w:p w:rsidR="00FF1A4F" w:rsidRPr="00501C8E" w:rsidRDefault="00FF1A4F" w:rsidP="001B5CCA">
            <w:pPr>
              <w:tabs>
                <w:tab w:val="left" w:pos="522"/>
              </w:tabs>
              <w:ind w:left="590"/>
              <w:jc w:val="right"/>
              <w:rPr>
                <w:rFonts w:ascii="Arial" w:hAnsi="Arial" w:cs="Arial"/>
                <w:sz w:val="22"/>
                <w:szCs w:val="22"/>
                <w:lang w:eastAsia="en-GB"/>
              </w:rPr>
            </w:pPr>
            <w:r w:rsidRPr="00501C8E">
              <w:rPr>
                <w:rFonts w:ascii="Arial" w:hAnsi="Arial" w:cs="Arial"/>
                <w:sz w:val="22"/>
                <w:szCs w:val="22"/>
                <w:lang w:eastAsia="en-GB"/>
              </w:rPr>
              <w:t>73</w:t>
            </w:r>
          </w:p>
        </w:tc>
        <w:tc>
          <w:tcPr>
            <w:tcW w:w="1276" w:type="dxa"/>
            <w:shd w:val="clear" w:color="auto" w:fill="auto"/>
            <w:noWrap/>
            <w:vAlign w:val="bottom"/>
          </w:tcPr>
          <w:p w:rsidR="00FF1A4F" w:rsidRPr="00501C8E" w:rsidRDefault="00FF1A4F" w:rsidP="001B5CCA">
            <w:pPr>
              <w:tabs>
                <w:tab w:val="left" w:pos="522"/>
              </w:tabs>
              <w:ind w:left="590"/>
              <w:jc w:val="right"/>
              <w:rPr>
                <w:rFonts w:ascii="Arial" w:hAnsi="Arial" w:cs="Arial"/>
                <w:sz w:val="22"/>
                <w:szCs w:val="22"/>
                <w:lang w:eastAsia="en-GB"/>
              </w:rPr>
            </w:pPr>
            <w:r w:rsidRPr="00501C8E">
              <w:rPr>
                <w:rFonts w:ascii="Arial" w:hAnsi="Arial" w:cs="Arial"/>
                <w:sz w:val="22"/>
                <w:szCs w:val="22"/>
                <w:lang w:eastAsia="en-GB"/>
              </w:rPr>
              <w:t>77</w:t>
            </w:r>
          </w:p>
        </w:tc>
      </w:tr>
      <w:tr w:rsidR="00FF1A4F" w:rsidRPr="00501C8E" w:rsidTr="001B5CCA">
        <w:trPr>
          <w:trHeight w:val="255"/>
        </w:trPr>
        <w:tc>
          <w:tcPr>
            <w:tcW w:w="3946" w:type="dxa"/>
            <w:shd w:val="clear" w:color="auto" w:fill="auto"/>
            <w:vAlign w:val="bottom"/>
          </w:tcPr>
          <w:p w:rsidR="00FF1A4F" w:rsidRPr="00501C8E" w:rsidRDefault="00FF1A4F" w:rsidP="001B5CCA">
            <w:pPr>
              <w:tabs>
                <w:tab w:val="left" w:pos="522"/>
              </w:tabs>
              <w:rPr>
                <w:rFonts w:ascii="Arial" w:hAnsi="Arial" w:cs="Arial"/>
                <w:sz w:val="22"/>
                <w:szCs w:val="22"/>
                <w:lang w:eastAsia="en-GB"/>
              </w:rPr>
            </w:pPr>
            <w:r w:rsidRPr="00501C8E">
              <w:rPr>
                <w:rFonts w:ascii="Arial" w:hAnsi="Arial" w:cs="Arial"/>
                <w:sz w:val="22"/>
                <w:szCs w:val="22"/>
                <w:lang w:eastAsia="en-GB"/>
              </w:rPr>
              <w:t>Trade waste income</w:t>
            </w:r>
          </w:p>
        </w:tc>
        <w:tc>
          <w:tcPr>
            <w:tcW w:w="1140" w:type="dxa"/>
            <w:shd w:val="clear" w:color="auto" w:fill="auto"/>
            <w:vAlign w:val="bottom"/>
          </w:tcPr>
          <w:p w:rsidR="00FF1A4F" w:rsidRPr="00501C8E" w:rsidRDefault="00FF1A4F" w:rsidP="001B5CCA">
            <w:pPr>
              <w:tabs>
                <w:tab w:val="left" w:pos="522"/>
              </w:tabs>
              <w:ind w:left="590"/>
              <w:jc w:val="right"/>
              <w:rPr>
                <w:rFonts w:ascii="Arial" w:hAnsi="Arial" w:cs="Arial"/>
                <w:sz w:val="22"/>
                <w:szCs w:val="22"/>
                <w:lang w:eastAsia="en-GB"/>
              </w:rPr>
            </w:pPr>
            <w:r w:rsidRPr="00501C8E">
              <w:rPr>
                <w:rFonts w:ascii="Arial" w:hAnsi="Arial" w:cs="Arial"/>
                <w:sz w:val="22"/>
                <w:szCs w:val="22"/>
                <w:lang w:eastAsia="en-GB"/>
              </w:rPr>
              <w:t>450</w:t>
            </w:r>
          </w:p>
        </w:tc>
        <w:tc>
          <w:tcPr>
            <w:tcW w:w="1140" w:type="dxa"/>
            <w:shd w:val="clear" w:color="auto" w:fill="auto"/>
            <w:noWrap/>
            <w:vAlign w:val="bottom"/>
          </w:tcPr>
          <w:p w:rsidR="00FF1A4F" w:rsidRPr="00501C8E" w:rsidRDefault="00FF1A4F" w:rsidP="001B5CCA">
            <w:pPr>
              <w:tabs>
                <w:tab w:val="left" w:pos="522"/>
              </w:tabs>
              <w:ind w:left="590"/>
              <w:jc w:val="right"/>
              <w:rPr>
                <w:rFonts w:ascii="Arial" w:hAnsi="Arial" w:cs="Arial"/>
                <w:sz w:val="22"/>
                <w:szCs w:val="22"/>
                <w:lang w:eastAsia="en-GB"/>
              </w:rPr>
            </w:pPr>
            <w:r w:rsidRPr="00501C8E">
              <w:rPr>
                <w:rFonts w:ascii="Arial" w:hAnsi="Arial" w:cs="Arial"/>
                <w:sz w:val="22"/>
                <w:szCs w:val="22"/>
                <w:lang w:eastAsia="en-GB"/>
              </w:rPr>
              <w:t>371</w:t>
            </w:r>
          </w:p>
        </w:tc>
        <w:tc>
          <w:tcPr>
            <w:tcW w:w="1276" w:type="dxa"/>
            <w:shd w:val="clear" w:color="auto" w:fill="auto"/>
            <w:noWrap/>
            <w:vAlign w:val="bottom"/>
          </w:tcPr>
          <w:p w:rsidR="00FF1A4F" w:rsidRPr="00501C8E" w:rsidRDefault="00FF1A4F" w:rsidP="001B5CCA">
            <w:pPr>
              <w:tabs>
                <w:tab w:val="left" w:pos="522"/>
              </w:tabs>
              <w:ind w:left="590"/>
              <w:jc w:val="right"/>
              <w:rPr>
                <w:rFonts w:ascii="Arial" w:hAnsi="Arial" w:cs="Arial"/>
                <w:sz w:val="22"/>
                <w:szCs w:val="22"/>
                <w:highlight w:val="yellow"/>
                <w:lang w:eastAsia="en-GB"/>
              </w:rPr>
            </w:pPr>
            <w:r w:rsidRPr="00501C8E">
              <w:rPr>
                <w:rFonts w:ascii="Arial" w:hAnsi="Arial" w:cs="Arial"/>
                <w:sz w:val="22"/>
                <w:szCs w:val="22"/>
                <w:lang w:eastAsia="en-GB"/>
              </w:rPr>
              <w:t>391</w:t>
            </w:r>
          </w:p>
        </w:tc>
      </w:tr>
      <w:tr w:rsidR="00FF1A4F" w:rsidRPr="00501C8E" w:rsidTr="001B5CCA">
        <w:trPr>
          <w:trHeight w:val="255"/>
        </w:trPr>
        <w:tc>
          <w:tcPr>
            <w:tcW w:w="3946" w:type="dxa"/>
            <w:shd w:val="clear" w:color="auto" w:fill="auto"/>
            <w:vAlign w:val="bottom"/>
          </w:tcPr>
          <w:p w:rsidR="00FF1A4F" w:rsidRPr="00501C8E" w:rsidRDefault="00FF1A4F" w:rsidP="001B5CCA">
            <w:pPr>
              <w:tabs>
                <w:tab w:val="left" w:pos="522"/>
              </w:tabs>
              <w:rPr>
                <w:rFonts w:ascii="Arial" w:hAnsi="Arial" w:cs="Arial"/>
                <w:sz w:val="22"/>
                <w:szCs w:val="22"/>
                <w:lang w:eastAsia="en-GB"/>
              </w:rPr>
            </w:pPr>
            <w:r w:rsidRPr="00501C8E">
              <w:rPr>
                <w:rFonts w:ascii="Arial" w:hAnsi="Arial" w:cs="Arial"/>
                <w:sz w:val="22"/>
                <w:szCs w:val="22"/>
                <w:lang w:eastAsia="en-GB"/>
              </w:rPr>
              <w:t>Off street parking ticket income</w:t>
            </w:r>
          </w:p>
        </w:tc>
        <w:tc>
          <w:tcPr>
            <w:tcW w:w="1140" w:type="dxa"/>
            <w:shd w:val="clear" w:color="auto" w:fill="auto"/>
            <w:vAlign w:val="bottom"/>
          </w:tcPr>
          <w:p w:rsidR="00FF1A4F" w:rsidRPr="00501C8E" w:rsidRDefault="00FF1A4F" w:rsidP="001B5CCA">
            <w:pPr>
              <w:tabs>
                <w:tab w:val="left" w:pos="522"/>
              </w:tabs>
              <w:ind w:left="590"/>
              <w:jc w:val="right"/>
              <w:rPr>
                <w:rFonts w:ascii="Arial" w:hAnsi="Arial" w:cs="Arial"/>
                <w:sz w:val="22"/>
                <w:szCs w:val="22"/>
                <w:lang w:eastAsia="en-GB"/>
              </w:rPr>
            </w:pPr>
            <w:r w:rsidRPr="00501C8E">
              <w:rPr>
                <w:rFonts w:ascii="Arial" w:hAnsi="Arial" w:cs="Arial"/>
                <w:sz w:val="22"/>
                <w:szCs w:val="22"/>
                <w:lang w:eastAsia="en-GB"/>
              </w:rPr>
              <w:t>458</w:t>
            </w:r>
          </w:p>
        </w:tc>
        <w:tc>
          <w:tcPr>
            <w:tcW w:w="1140" w:type="dxa"/>
            <w:shd w:val="clear" w:color="auto" w:fill="auto"/>
            <w:noWrap/>
            <w:vAlign w:val="bottom"/>
          </w:tcPr>
          <w:p w:rsidR="00FF1A4F" w:rsidRPr="00501C8E" w:rsidRDefault="00FF1A4F" w:rsidP="001B5CCA">
            <w:pPr>
              <w:tabs>
                <w:tab w:val="left" w:pos="522"/>
              </w:tabs>
              <w:ind w:left="590"/>
              <w:jc w:val="right"/>
              <w:rPr>
                <w:rFonts w:ascii="Arial" w:hAnsi="Arial" w:cs="Arial"/>
                <w:sz w:val="22"/>
                <w:szCs w:val="22"/>
                <w:lang w:eastAsia="en-GB"/>
              </w:rPr>
            </w:pPr>
            <w:r w:rsidRPr="00501C8E">
              <w:rPr>
                <w:rFonts w:ascii="Arial" w:hAnsi="Arial" w:cs="Arial"/>
                <w:sz w:val="22"/>
                <w:szCs w:val="22"/>
                <w:lang w:eastAsia="en-GB"/>
              </w:rPr>
              <w:t>245</w:t>
            </w:r>
          </w:p>
        </w:tc>
        <w:tc>
          <w:tcPr>
            <w:tcW w:w="1276" w:type="dxa"/>
            <w:shd w:val="clear" w:color="auto" w:fill="auto"/>
            <w:noWrap/>
            <w:vAlign w:val="bottom"/>
          </w:tcPr>
          <w:p w:rsidR="00FF1A4F" w:rsidRPr="00501C8E" w:rsidRDefault="00FF1A4F" w:rsidP="001B5CCA">
            <w:pPr>
              <w:tabs>
                <w:tab w:val="left" w:pos="522"/>
              </w:tabs>
              <w:ind w:left="590"/>
              <w:jc w:val="right"/>
              <w:rPr>
                <w:rFonts w:ascii="Arial" w:hAnsi="Arial" w:cs="Arial"/>
                <w:sz w:val="22"/>
                <w:szCs w:val="22"/>
                <w:lang w:eastAsia="en-GB"/>
              </w:rPr>
            </w:pPr>
            <w:r w:rsidRPr="00501C8E">
              <w:rPr>
                <w:rFonts w:ascii="Arial" w:hAnsi="Arial" w:cs="Arial"/>
                <w:sz w:val="22"/>
                <w:szCs w:val="22"/>
                <w:lang w:eastAsia="en-GB"/>
              </w:rPr>
              <w:t>235</w:t>
            </w:r>
          </w:p>
        </w:tc>
      </w:tr>
      <w:tr w:rsidR="00FF1A4F" w:rsidRPr="00501C8E" w:rsidTr="001B5CCA">
        <w:trPr>
          <w:trHeight w:val="255"/>
        </w:trPr>
        <w:tc>
          <w:tcPr>
            <w:tcW w:w="3946" w:type="dxa"/>
            <w:shd w:val="clear" w:color="auto" w:fill="auto"/>
            <w:vAlign w:val="bottom"/>
          </w:tcPr>
          <w:p w:rsidR="00FF1A4F" w:rsidRPr="00501C8E" w:rsidRDefault="00FF1A4F" w:rsidP="001B5CCA">
            <w:pPr>
              <w:tabs>
                <w:tab w:val="left" w:pos="522"/>
              </w:tabs>
              <w:rPr>
                <w:rFonts w:ascii="Arial" w:hAnsi="Arial" w:cs="Arial"/>
                <w:sz w:val="22"/>
                <w:szCs w:val="22"/>
                <w:lang w:eastAsia="en-GB"/>
              </w:rPr>
            </w:pPr>
            <w:r w:rsidRPr="00501C8E">
              <w:rPr>
                <w:rFonts w:ascii="Arial" w:hAnsi="Arial" w:cs="Arial"/>
                <w:sz w:val="22"/>
                <w:szCs w:val="22"/>
                <w:lang w:eastAsia="en-GB"/>
              </w:rPr>
              <w:t>Planning fees</w:t>
            </w:r>
          </w:p>
        </w:tc>
        <w:tc>
          <w:tcPr>
            <w:tcW w:w="1140" w:type="dxa"/>
            <w:shd w:val="clear" w:color="auto" w:fill="auto"/>
            <w:vAlign w:val="bottom"/>
          </w:tcPr>
          <w:p w:rsidR="00FF1A4F" w:rsidRPr="00501C8E" w:rsidRDefault="00FF1A4F" w:rsidP="001B5CCA">
            <w:pPr>
              <w:tabs>
                <w:tab w:val="left" w:pos="522"/>
              </w:tabs>
              <w:ind w:left="590"/>
              <w:jc w:val="right"/>
              <w:rPr>
                <w:rFonts w:ascii="Arial" w:hAnsi="Arial" w:cs="Arial"/>
                <w:sz w:val="22"/>
                <w:szCs w:val="22"/>
                <w:lang w:eastAsia="en-GB"/>
              </w:rPr>
            </w:pPr>
            <w:r w:rsidRPr="00501C8E">
              <w:rPr>
                <w:rFonts w:ascii="Arial" w:hAnsi="Arial" w:cs="Arial"/>
                <w:sz w:val="22"/>
                <w:szCs w:val="22"/>
                <w:lang w:eastAsia="en-GB"/>
              </w:rPr>
              <w:t>700</w:t>
            </w:r>
          </w:p>
        </w:tc>
        <w:tc>
          <w:tcPr>
            <w:tcW w:w="1140" w:type="dxa"/>
            <w:shd w:val="clear" w:color="auto" w:fill="auto"/>
            <w:noWrap/>
            <w:vAlign w:val="bottom"/>
          </w:tcPr>
          <w:p w:rsidR="00FF1A4F" w:rsidRPr="00501C8E" w:rsidRDefault="00FF1A4F" w:rsidP="001B5CCA">
            <w:pPr>
              <w:tabs>
                <w:tab w:val="left" w:pos="522"/>
              </w:tabs>
              <w:ind w:left="590"/>
              <w:jc w:val="right"/>
              <w:rPr>
                <w:rFonts w:ascii="Arial" w:hAnsi="Arial" w:cs="Arial"/>
                <w:sz w:val="22"/>
                <w:szCs w:val="22"/>
                <w:lang w:eastAsia="en-GB"/>
              </w:rPr>
            </w:pPr>
            <w:r w:rsidRPr="00501C8E">
              <w:rPr>
                <w:rFonts w:ascii="Arial" w:hAnsi="Arial" w:cs="Arial"/>
                <w:sz w:val="22"/>
                <w:szCs w:val="22"/>
                <w:lang w:eastAsia="en-GB"/>
              </w:rPr>
              <w:t>350</w:t>
            </w:r>
          </w:p>
        </w:tc>
        <w:tc>
          <w:tcPr>
            <w:tcW w:w="1276" w:type="dxa"/>
            <w:shd w:val="clear" w:color="auto" w:fill="auto"/>
            <w:noWrap/>
            <w:vAlign w:val="bottom"/>
          </w:tcPr>
          <w:p w:rsidR="00FF1A4F" w:rsidRPr="00501C8E" w:rsidRDefault="00FF1A4F" w:rsidP="001B5CCA">
            <w:pPr>
              <w:tabs>
                <w:tab w:val="left" w:pos="522"/>
              </w:tabs>
              <w:ind w:left="590"/>
              <w:jc w:val="right"/>
              <w:rPr>
                <w:rFonts w:ascii="Arial" w:hAnsi="Arial" w:cs="Arial"/>
                <w:sz w:val="22"/>
                <w:szCs w:val="22"/>
                <w:highlight w:val="yellow"/>
                <w:lang w:eastAsia="en-GB"/>
              </w:rPr>
            </w:pPr>
            <w:r w:rsidRPr="00501C8E">
              <w:rPr>
                <w:rFonts w:ascii="Arial" w:hAnsi="Arial" w:cs="Arial"/>
                <w:sz w:val="22"/>
                <w:szCs w:val="22"/>
                <w:lang w:eastAsia="en-GB"/>
              </w:rPr>
              <w:t>397</w:t>
            </w:r>
          </w:p>
        </w:tc>
      </w:tr>
      <w:tr w:rsidR="00FF1A4F" w:rsidRPr="00501C8E" w:rsidTr="001B5CCA">
        <w:trPr>
          <w:trHeight w:val="255"/>
        </w:trPr>
        <w:tc>
          <w:tcPr>
            <w:tcW w:w="3946" w:type="dxa"/>
            <w:shd w:val="clear" w:color="auto" w:fill="auto"/>
            <w:vAlign w:val="bottom"/>
          </w:tcPr>
          <w:p w:rsidR="00FF1A4F" w:rsidRPr="00501C8E" w:rsidRDefault="00FF1A4F" w:rsidP="001B5CCA">
            <w:pPr>
              <w:tabs>
                <w:tab w:val="left" w:pos="522"/>
              </w:tabs>
              <w:rPr>
                <w:rFonts w:ascii="Arial" w:hAnsi="Arial" w:cs="Arial"/>
                <w:sz w:val="22"/>
                <w:szCs w:val="22"/>
                <w:lang w:eastAsia="en-GB"/>
              </w:rPr>
            </w:pPr>
            <w:r w:rsidRPr="00501C8E">
              <w:rPr>
                <w:rFonts w:ascii="Arial" w:hAnsi="Arial" w:cs="Arial"/>
                <w:sz w:val="22"/>
                <w:szCs w:val="22"/>
                <w:lang w:eastAsia="en-GB"/>
              </w:rPr>
              <w:t>Local land charge search fees</w:t>
            </w:r>
          </w:p>
        </w:tc>
        <w:tc>
          <w:tcPr>
            <w:tcW w:w="1140" w:type="dxa"/>
            <w:shd w:val="clear" w:color="auto" w:fill="auto"/>
            <w:vAlign w:val="bottom"/>
          </w:tcPr>
          <w:p w:rsidR="00FF1A4F" w:rsidRPr="00501C8E" w:rsidRDefault="00FF1A4F" w:rsidP="001B5CCA">
            <w:pPr>
              <w:tabs>
                <w:tab w:val="left" w:pos="522"/>
              </w:tabs>
              <w:ind w:left="590"/>
              <w:jc w:val="right"/>
              <w:rPr>
                <w:rFonts w:ascii="Arial" w:hAnsi="Arial" w:cs="Arial"/>
                <w:sz w:val="22"/>
                <w:szCs w:val="22"/>
                <w:lang w:eastAsia="en-GB"/>
              </w:rPr>
            </w:pPr>
            <w:r w:rsidRPr="00501C8E">
              <w:rPr>
                <w:rFonts w:ascii="Arial" w:hAnsi="Arial" w:cs="Arial"/>
                <w:sz w:val="22"/>
                <w:szCs w:val="22"/>
                <w:lang w:eastAsia="en-GB"/>
              </w:rPr>
              <w:t>251</w:t>
            </w:r>
          </w:p>
        </w:tc>
        <w:tc>
          <w:tcPr>
            <w:tcW w:w="1140" w:type="dxa"/>
            <w:shd w:val="clear" w:color="auto" w:fill="auto"/>
            <w:noWrap/>
            <w:vAlign w:val="bottom"/>
          </w:tcPr>
          <w:p w:rsidR="00FF1A4F" w:rsidRPr="00501C8E" w:rsidRDefault="00FF1A4F" w:rsidP="001B5CCA">
            <w:pPr>
              <w:tabs>
                <w:tab w:val="left" w:pos="522"/>
              </w:tabs>
              <w:ind w:left="590"/>
              <w:jc w:val="right"/>
              <w:rPr>
                <w:rFonts w:ascii="Arial" w:hAnsi="Arial" w:cs="Arial"/>
                <w:sz w:val="22"/>
                <w:szCs w:val="22"/>
                <w:lang w:eastAsia="en-GB"/>
              </w:rPr>
            </w:pPr>
            <w:r w:rsidRPr="00501C8E">
              <w:rPr>
                <w:rFonts w:ascii="Arial" w:hAnsi="Arial" w:cs="Arial"/>
                <w:sz w:val="22"/>
                <w:szCs w:val="22"/>
                <w:lang w:eastAsia="en-GB"/>
              </w:rPr>
              <w:t>128</w:t>
            </w:r>
          </w:p>
        </w:tc>
        <w:tc>
          <w:tcPr>
            <w:tcW w:w="1276" w:type="dxa"/>
            <w:shd w:val="clear" w:color="auto" w:fill="auto"/>
            <w:noWrap/>
            <w:vAlign w:val="bottom"/>
          </w:tcPr>
          <w:p w:rsidR="00FF1A4F" w:rsidRPr="00501C8E" w:rsidRDefault="00FF1A4F" w:rsidP="001B5CCA">
            <w:pPr>
              <w:tabs>
                <w:tab w:val="left" w:pos="522"/>
              </w:tabs>
              <w:ind w:left="590"/>
              <w:jc w:val="right"/>
              <w:rPr>
                <w:rFonts w:ascii="Arial" w:hAnsi="Arial" w:cs="Arial"/>
                <w:sz w:val="22"/>
                <w:szCs w:val="22"/>
                <w:highlight w:val="yellow"/>
                <w:lang w:eastAsia="en-GB"/>
              </w:rPr>
            </w:pPr>
            <w:r w:rsidRPr="00501C8E">
              <w:rPr>
                <w:rFonts w:ascii="Arial" w:hAnsi="Arial" w:cs="Arial"/>
                <w:sz w:val="22"/>
                <w:szCs w:val="22"/>
                <w:lang w:eastAsia="en-GB"/>
              </w:rPr>
              <w:t>128</w:t>
            </w:r>
          </w:p>
        </w:tc>
      </w:tr>
      <w:tr w:rsidR="00FF1A4F" w:rsidRPr="00501C8E" w:rsidTr="001B5CCA">
        <w:trPr>
          <w:trHeight w:val="255"/>
        </w:trPr>
        <w:tc>
          <w:tcPr>
            <w:tcW w:w="3946" w:type="dxa"/>
            <w:shd w:val="clear" w:color="auto" w:fill="auto"/>
            <w:vAlign w:val="bottom"/>
          </w:tcPr>
          <w:p w:rsidR="00FF1A4F" w:rsidRPr="00501C8E" w:rsidRDefault="00FF1A4F" w:rsidP="001B5CCA">
            <w:pPr>
              <w:tabs>
                <w:tab w:val="left" w:pos="522"/>
              </w:tabs>
              <w:rPr>
                <w:rFonts w:ascii="Arial" w:hAnsi="Arial" w:cs="Arial"/>
                <w:b/>
                <w:sz w:val="22"/>
                <w:szCs w:val="22"/>
                <w:lang w:eastAsia="en-GB"/>
              </w:rPr>
            </w:pPr>
            <w:r w:rsidRPr="00501C8E">
              <w:rPr>
                <w:rFonts w:ascii="Arial" w:hAnsi="Arial" w:cs="Arial"/>
                <w:b/>
                <w:sz w:val="22"/>
                <w:szCs w:val="22"/>
                <w:lang w:eastAsia="en-GB"/>
              </w:rPr>
              <w:t>TOTALS</w:t>
            </w:r>
          </w:p>
        </w:tc>
        <w:tc>
          <w:tcPr>
            <w:tcW w:w="1140" w:type="dxa"/>
            <w:shd w:val="clear" w:color="auto" w:fill="auto"/>
            <w:vAlign w:val="bottom"/>
          </w:tcPr>
          <w:p w:rsidR="00FF1A4F" w:rsidRPr="00501C8E" w:rsidRDefault="00FF1A4F" w:rsidP="001B5CCA">
            <w:pPr>
              <w:jc w:val="right"/>
              <w:rPr>
                <w:rFonts w:ascii="Arial" w:hAnsi="Arial" w:cs="Arial"/>
                <w:b/>
                <w:sz w:val="22"/>
                <w:szCs w:val="22"/>
              </w:rPr>
            </w:pPr>
            <w:r w:rsidRPr="00501C8E">
              <w:rPr>
                <w:rFonts w:ascii="Arial" w:hAnsi="Arial" w:cs="Arial"/>
                <w:b/>
                <w:sz w:val="22"/>
                <w:szCs w:val="22"/>
              </w:rPr>
              <w:t>2,369</w:t>
            </w:r>
          </w:p>
        </w:tc>
        <w:tc>
          <w:tcPr>
            <w:tcW w:w="1140" w:type="dxa"/>
            <w:shd w:val="clear" w:color="auto" w:fill="auto"/>
            <w:noWrap/>
            <w:vAlign w:val="bottom"/>
          </w:tcPr>
          <w:p w:rsidR="00FF1A4F" w:rsidRPr="00501C8E" w:rsidRDefault="00FF1A4F" w:rsidP="001B5CCA">
            <w:pPr>
              <w:jc w:val="right"/>
              <w:rPr>
                <w:rFonts w:ascii="Arial" w:hAnsi="Arial" w:cs="Arial"/>
                <w:b/>
                <w:sz w:val="22"/>
                <w:szCs w:val="22"/>
              </w:rPr>
            </w:pPr>
            <w:r w:rsidRPr="00501C8E">
              <w:rPr>
                <w:rFonts w:ascii="Arial" w:hAnsi="Arial" w:cs="Arial"/>
                <w:b/>
                <w:sz w:val="22"/>
                <w:szCs w:val="22"/>
              </w:rPr>
              <w:t>1,319</w:t>
            </w:r>
          </w:p>
        </w:tc>
        <w:tc>
          <w:tcPr>
            <w:tcW w:w="1276" w:type="dxa"/>
            <w:shd w:val="clear" w:color="auto" w:fill="auto"/>
            <w:noWrap/>
            <w:vAlign w:val="bottom"/>
          </w:tcPr>
          <w:p w:rsidR="00FF1A4F" w:rsidRPr="00501C8E" w:rsidRDefault="00FF1A4F" w:rsidP="001B5CCA">
            <w:pPr>
              <w:jc w:val="right"/>
              <w:rPr>
                <w:rFonts w:ascii="Arial" w:hAnsi="Arial" w:cs="Arial"/>
                <w:b/>
                <w:sz w:val="22"/>
                <w:szCs w:val="22"/>
              </w:rPr>
            </w:pPr>
            <w:r w:rsidRPr="00501C8E">
              <w:rPr>
                <w:rFonts w:ascii="Arial" w:hAnsi="Arial" w:cs="Arial"/>
                <w:b/>
                <w:sz w:val="22"/>
                <w:szCs w:val="22"/>
              </w:rPr>
              <w:t>1,438</w:t>
            </w:r>
          </w:p>
        </w:tc>
      </w:tr>
    </w:tbl>
    <w:p w:rsidR="002154E0" w:rsidRPr="00501C8E" w:rsidRDefault="002154E0" w:rsidP="00F21659">
      <w:pPr>
        <w:tabs>
          <w:tab w:val="left" w:pos="720"/>
        </w:tabs>
        <w:ind w:left="720" w:hanging="720"/>
        <w:rPr>
          <w:rFonts w:ascii="Arial" w:hAnsi="Arial" w:cs="Arial"/>
          <w:sz w:val="22"/>
          <w:szCs w:val="22"/>
        </w:rPr>
      </w:pPr>
    </w:p>
    <w:p w:rsidR="002154E0" w:rsidRPr="00501C8E" w:rsidRDefault="002154E0" w:rsidP="00F21659">
      <w:pPr>
        <w:tabs>
          <w:tab w:val="left" w:pos="720"/>
        </w:tabs>
        <w:ind w:left="720" w:hanging="720"/>
        <w:rPr>
          <w:rFonts w:ascii="Arial" w:hAnsi="Arial" w:cs="Arial"/>
          <w:sz w:val="22"/>
          <w:szCs w:val="22"/>
          <w:u w:val="single"/>
        </w:rPr>
      </w:pPr>
      <w:r w:rsidRPr="00501C8E">
        <w:rPr>
          <w:rFonts w:ascii="Arial" w:hAnsi="Arial" w:cs="Arial"/>
          <w:sz w:val="22"/>
          <w:szCs w:val="22"/>
        </w:rPr>
        <w:tab/>
      </w:r>
      <w:r w:rsidRPr="00501C8E">
        <w:rPr>
          <w:rFonts w:ascii="Arial" w:hAnsi="Arial" w:cs="Arial"/>
          <w:sz w:val="22"/>
          <w:szCs w:val="22"/>
          <w:u w:val="single"/>
        </w:rPr>
        <w:t xml:space="preserve">Major concerns </w:t>
      </w:r>
      <w:r w:rsidR="00C63DDC" w:rsidRPr="00501C8E">
        <w:rPr>
          <w:rFonts w:ascii="Arial" w:hAnsi="Arial" w:cs="Arial"/>
          <w:sz w:val="22"/>
          <w:szCs w:val="22"/>
          <w:u w:val="single"/>
        </w:rPr>
        <w:t>for the Corporate Head of Resources</w:t>
      </w:r>
    </w:p>
    <w:p w:rsidR="002154E0" w:rsidRPr="00501C8E" w:rsidRDefault="002154E0" w:rsidP="00F21659">
      <w:pPr>
        <w:tabs>
          <w:tab w:val="left" w:pos="720"/>
        </w:tabs>
        <w:ind w:left="720" w:hanging="720"/>
        <w:rPr>
          <w:rFonts w:ascii="Arial" w:hAnsi="Arial" w:cs="Arial"/>
          <w:sz w:val="22"/>
          <w:szCs w:val="22"/>
        </w:rPr>
      </w:pPr>
    </w:p>
    <w:p w:rsidR="00E51808" w:rsidRDefault="00E51808" w:rsidP="00E51808">
      <w:pPr>
        <w:ind w:left="709" w:hanging="709"/>
        <w:rPr>
          <w:rFonts w:ascii="Arial" w:hAnsi="Arial" w:cs="Arial"/>
          <w:sz w:val="22"/>
          <w:szCs w:val="22"/>
        </w:rPr>
      </w:pPr>
      <w:r w:rsidRPr="00501C8E">
        <w:rPr>
          <w:rFonts w:ascii="Arial" w:hAnsi="Arial" w:cs="Arial"/>
          <w:sz w:val="22"/>
          <w:szCs w:val="22"/>
        </w:rPr>
        <w:t>2.8</w:t>
      </w:r>
      <w:r w:rsidRPr="00501C8E">
        <w:rPr>
          <w:rFonts w:ascii="Arial" w:hAnsi="Arial" w:cs="Arial"/>
          <w:sz w:val="22"/>
          <w:szCs w:val="22"/>
        </w:rPr>
        <w:tab/>
        <w:t>Members have been alerted to the fact that business contributions to the Yellow Bus Scheme have been diminishing as have Section 106 contributions. Members decided to continue with the service in the knowledge that there were additional Section 106 contributions forthcoming over the next 3-4 years. As yet, only £40,000 of contributions are available. This is causing pressure on the General Fund. The latest forecast for receipt of S 106 contributions is:</w:t>
      </w:r>
    </w:p>
    <w:p w:rsidR="002F068E" w:rsidRPr="00501C8E" w:rsidRDefault="002F068E" w:rsidP="00E51808">
      <w:pPr>
        <w:ind w:left="709" w:hanging="709"/>
        <w:rPr>
          <w:rFonts w:ascii="Arial" w:hAnsi="Arial" w:cs="Arial"/>
          <w:sz w:val="22"/>
          <w:szCs w:val="22"/>
        </w:rPr>
      </w:pPr>
    </w:p>
    <w:p w:rsidR="00E51808" w:rsidRPr="00501C8E" w:rsidRDefault="00E51808" w:rsidP="00E51808">
      <w:pPr>
        <w:ind w:left="709" w:hanging="709"/>
        <w:rPr>
          <w:rFonts w:ascii="Arial" w:hAnsi="Arial" w:cs="Arial"/>
          <w:sz w:val="22"/>
          <w:szCs w:val="22"/>
        </w:rPr>
      </w:pPr>
    </w:p>
    <w:p w:rsidR="00E51808" w:rsidRPr="00501C8E" w:rsidRDefault="00E51808" w:rsidP="00E51808">
      <w:pPr>
        <w:ind w:left="709" w:hanging="709"/>
        <w:rPr>
          <w:rFonts w:ascii="Arial" w:hAnsi="Arial" w:cs="Arial"/>
          <w:sz w:val="22"/>
          <w:szCs w:val="22"/>
        </w:rPr>
      </w:pPr>
      <w:r w:rsidRPr="00501C8E">
        <w:rPr>
          <w:rFonts w:ascii="Arial" w:hAnsi="Arial" w:cs="Arial"/>
          <w:sz w:val="22"/>
          <w:szCs w:val="22"/>
        </w:rPr>
        <w:tab/>
      </w:r>
      <w:r w:rsidR="005756A0" w:rsidRPr="00501C8E">
        <w:rPr>
          <w:rFonts w:ascii="Arial" w:hAnsi="Arial" w:cs="Arial"/>
          <w:sz w:val="22"/>
          <w:szCs w:val="22"/>
        </w:rPr>
        <w:t>Table 6</w:t>
      </w:r>
    </w:p>
    <w:tbl>
      <w:tblPr>
        <w:tblStyle w:val="TableGrid"/>
        <w:tblW w:w="0" w:type="auto"/>
        <w:tblInd w:w="709" w:type="dxa"/>
        <w:tblLook w:val="04A0" w:firstRow="1" w:lastRow="0" w:firstColumn="1" w:lastColumn="0" w:noHBand="0" w:noVBand="1"/>
      </w:tblPr>
      <w:tblGrid>
        <w:gridCol w:w="1305"/>
        <w:gridCol w:w="1962"/>
        <w:gridCol w:w="5879"/>
      </w:tblGrid>
      <w:tr w:rsidR="00E51808" w:rsidRPr="00501C8E" w:rsidTr="00E51808">
        <w:tc>
          <w:tcPr>
            <w:tcW w:w="1100" w:type="dxa"/>
          </w:tcPr>
          <w:p w:rsidR="00E51808" w:rsidRPr="00501C8E" w:rsidRDefault="00E51808" w:rsidP="00E51808">
            <w:pPr>
              <w:rPr>
                <w:rFonts w:ascii="Arial" w:hAnsi="Arial" w:cs="Arial"/>
                <w:sz w:val="22"/>
                <w:szCs w:val="22"/>
              </w:rPr>
            </w:pPr>
            <w:r w:rsidRPr="00501C8E">
              <w:rPr>
                <w:rFonts w:ascii="Arial" w:hAnsi="Arial" w:cs="Arial"/>
                <w:sz w:val="22"/>
                <w:szCs w:val="22"/>
              </w:rPr>
              <w:t>Anticipated receipt date</w:t>
            </w:r>
          </w:p>
        </w:tc>
        <w:tc>
          <w:tcPr>
            <w:tcW w:w="1985" w:type="dxa"/>
          </w:tcPr>
          <w:p w:rsidR="00E51808" w:rsidRPr="00501C8E" w:rsidRDefault="00E51808" w:rsidP="00E51808">
            <w:pPr>
              <w:rPr>
                <w:rFonts w:ascii="Arial" w:hAnsi="Arial" w:cs="Arial"/>
                <w:sz w:val="22"/>
                <w:szCs w:val="22"/>
              </w:rPr>
            </w:pPr>
            <w:r w:rsidRPr="00501C8E">
              <w:rPr>
                <w:rFonts w:ascii="Arial" w:hAnsi="Arial" w:cs="Arial"/>
                <w:sz w:val="22"/>
                <w:szCs w:val="22"/>
              </w:rPr>
              <w:t>S106 Contribution anticipated</w:t>
            </w:r>
          </w:p>
        </w:tc>
        <w:tc>
          <w:tcPr>
            <w:tcW w:w="6061" w:type="dxa"/>
          </w:tcPr>
          <w:p w:rsidR="00E51808" w:rsidRPr="00501C8E" w:rsidRDefault="00E51808" w:rsidP="00E51808">
            <w:pPr>
              <w:rPr>
                <w:rFonts w:ascii="Arial" w:hAnsi="Arial" w:cs="Arial"/>
                <w:sz w:val="22"/>
                <w:szCs w:val="22"/>
              </w:rPr>
            </w:pPr>
            <w:r w:rsidRPr="00501C8E">
              <w:rPr>
                <w:rFonts w:ascii="Arial" w:hAnsi="Arial" w:cs="Arial"/>
                <w:sz w:val="22"/>
                <w:szCs w:val="22"/>
              </w:rPr>
              <w:t>Source</w:t>
            </w:r>
          </w:p>
        </w:tc>
      </w:tr>
      <w:tr w:rsidR="00E51808" w:rsidRPr="00501C8E" w:rsidTr="00E51808">
        <w:tc>
          <w:tcPr>
            <w:tcW w:w="1100" w:type="dxa"/>
          </w:tcPr>
          <w:p w:rsidR="00E51808" w:rsidRPr="00501C8E" w:rsidRDefault="00E51808" w:rsidP="00E51808">
            <w:pPr>
              <w:rPr>
                <w:rFonts w:ascii="Arial" w:hAnsi="Arial" w:cs="Arial"/>
                <w:sz w:val="22"/>
                <w:szCs w:val="22"/>
              </w:rPr>
            </w:pPr>
            <w:r w:rsidRPr="00501C8E">
              <w:rPr>
                <w:rFonts w:ascii="Arial" w:hAnsi="Arial" w:cs="Arial"/>
                <w:sz w:val="22"/>
                <w:szCs w:val="22"/>
              </w:rPr>
              <w:t>Q2 17/18</w:t>
            </w:r>
          </w:p>
        </w:tc>
        <w:tc>
          <w:tcPr>
            <w:tcW w:w="1985" w:type="dxa"/>
          </w:tcPr>
          <w:p w:rsidR="00E51808" w:rsidRPr="00501C8E" w:rsidRDefault="00E51808" w:rsidP="00E51808">
            <w:pPr>
              <w:rPr>
                <w:rFonts w:ascii="Arial" w:hAnsi="Arial" w:cs="Arial"/>
                <w:sz w:val="22"/>
                <w:szCs w:val="22"/>
              </w:rPr>
            </w:pPr>
            <w:r w:rsidRPr="00501C8E">
              <w:rPr>
                <w:rFonts w:ascii="Arial" w:hAnsi="Arial" w:cs="Arial"/>
                <w:sz w:val="22"/>
                <w:szCs w:val="22"/>
              </w:rPr>
              <w:t>£83,715</w:t>
            </w:r>
          </w:p>
        </w:tc>
        <w:tc>
          <w:tcPr>
            <w:tcW w:w="6061" w:type="dxa"/>
          </w:tcPr>
          <w:p w:rsidR="00E51808" w:rsidRPr="00501C8E" w:rsidRDefault="00E51808" w:rsidP="00E51808">
            <w:pPr>
              <w:rPr>
                <w:rFonts w:ascii="Arial" w:hAnsi="Arial" w:cs="Arial"/>
                <w:sz w:val="22"/>
                <w:szCs w:val="22"/>
              </w:rPr>
            </w:pPr>
            <w:r w:rsidRPr="00501C8E">
              <w:rPr>
                <w:rFonts w:ascii="Arial" w:hAnsi="Arial" w:cs="Arial"/>
                <w:sz w:val="22"/>
                <w:szCs w:val="22"/>
              </w:rPr>
              <w:t>RU.11/0207 Former Brunel Campus – payment due Prior to Occupation of first Open Market Unit</w:t>
            </w:r>
          </w:p>
        </w:tc>
      </w:tr>
      <w:tr w:rsidR="00E51808" w:rsidRPr="00501C8E" w:rsidTr="00E51808">
        <w:tc>
          <w:tcPr>
            <w:tcW w:w="1100" w:type="dxa"/>
          </w:tcPr>
          <w:p w:rsidR="00E51808" w:rsidRPr="00501C8E" w:rsidRDefault="00E51808" w:rsidP="00E51808">
            <w:pPr>
              <w:rPr>
                <w:rFonts w:ascii="Arial" w:hAnsi="Arial" w:cs="Arial"/>
                <w:sz w:val="22"/>
                <w:szCs w:val="22"/>
              </w:rPr>
            </w:pPr>
            <w:r w:rsidRPr="00501C8E">
              <w:rPr>
                <w:rFonts w:ascii="Arial" w:hAnsi="Arial" w:cs="Arial"/>
                <w:sz w:val="22"/>
                <w:szCs w:val="22"/>
              </w:rPr>
              <w:t>Q3 17/18</w:t>
            </w:r>
          </w:p>
        </w:tc>
        <w:tc>
          <w:tcPr>
            <w:tcW w:w="1985" w:type="dxa"/>
          </w:tcPr>
          <w:p w:rsidR="00E51808" w:rsidRPr="00501C8E" w:rsidRDefault="00E51808" w:rsidP="00E51808">
            <w:pPr>
              <w:rPr>
                <w:rFonts w:ascii="Arial" w:hAnsi="Arial" w:cs="Arial"/>
                <w:sz w:val="22"/>
                <w:szCs w:val="22"/>
              </w:rPr>
            </w:pPr>
            <w:r w:rsidRPr="00501C8E">
              <w:rPr>
                <w:rFonts w:ascii="Arial" w:hAnsi="Arial" w:cs="Arial"/>
                <w:sz w:val="22"/>
                <w:szCs w:val="22"/>
              </w:rPr>
              <w:t xml:space="preserve">£69,985 </w:t>
            </w:r>
          </w:p>
        </w:tc>
        <w:tc>
          <w:tcPr>
            <w:tcW w:w="6061" w:type="dxa"/>
          </w:tcPr>
          <w:p w:rsidR="00E51808" w:rsidRPr="00501C8E" w:rsidRDefault="00E51808" w:rsidP="00E51808">
            <w:pPr>
              <w:rPr>
                <w:rFonts w:ascii="Arial" w:hAnsi="Arial" w:cs="Arial"/>
                <w:sz w:val="22"/>
                <w:szCs w:val="22"/>
              </w:rPr>
            </w:pPr>
            <w:r w:rsidRPr="00501C8E">
              <w:rPr>
                <w:rFonts w:ascii="Arial" w:hAnsi="Arial" w:cs="Arial"/>
                <w:sz w:val="22"/>
                <w:szCs w:val="22"/>
              </w:rPr>
              <w:t>RU.14/0435 Addlestone ONE – payment due Prior to Occupation of last dwelling of Phase 1</w:t>
            </w:r>
          </w:p>
        </w:tc>
      </w:tr>
      <w:tr w:rsidR="00E51808" w:rsidRPr="00501C8E" w:rsidTr="00E51808">
        <w:tc>
          <w:tcPr>
            <w:tcW w:w="1100" w:type="dxa"/>
          </w:tcPr>
          <w:p w:rsidR="00E51808" w:rsidRPr="00501C8E" w:rsidRDefault="00E51808" w:rsidP="00E51808">
            <w:pPr>
              <w:rPr>
                <w:rFonts w:ascii="Arial" w:hAnsi="Arial" w:cs="Arial"/>
                <w:sz w:val="22"/>
                <w:szCs w:val="22"/>
              </w:rPr>
            </w:pPr>
            <w:r w:rsidRPr="00501C8E">
              <w:rPr>
                <w:rFonts w:ascii="Arial" w:hAnsi="Arial" w:cs="Arial"/>
                <w:sz w:val="22"/>
                <w:szCs w:val="22"/>
              </w:rPr>
              <w:t>Q3 17/18</w:t>
            </w:r>
          </w:p>
        </w:tc>
        <w:tc>
          <w:tcPr>
            <w:tcW w:w="1985" w:type="dxa"/>
          </w:tcPr>
          <w:p w:rsidR="00E51808" w:rsidRPr="00501C8E" w:rsidRDefault="00E51808" w:rsidP="00E51808">
            <w:pPr>
              <w:rPr>
                <w:rFonts w:ascii="Arial" w:hAnsi="Arial" w:cs="Arial"/>
                <w:sz w:val="22"/>
                <w:szCs w:val="22"/>
              </w:rPr>
            </w:pPr>
            <w:r w:rsidRPr="00501C8E">
              <w:rPr>
                <w:rFonts w:ascii="Arial" w:hAnsi="Arial" w:cs="Arial"/>
                <w:sz w:val="22"/>
                <w:szCs w:val="22"/>
              </w:rPr>
              <w:t>£48,930</w:t>
            </w:r>
          </w:p>
        </w:tc>
        <w:tc>
          <w:tcPr>
            <w:tcW w:w="6061" w:type="dxa"/>
          </w:tcPr>
          <w:p w:rsidR="00E51808" w:rsidRPr="00501C8E" w:rsidRDefault="00E51808" w:rsidP="00E1069B">
            <w:pPr>
              <w:rPr>
                <w:rFonts w:ascii="Arial" w:hAnsi="Arial" w:cs="Arial"/>
                <w:sz w:val="22"/>
                <w:szCs w:val="22"/>
              </w:rPr>
            </w:pPr>
            <w:r w:rsidRPr="00501C8E">
              <w:rPr>
                <w:rFonts w:ascii="Arial" w:hAnsi="Arial" w:cs="Arial"/>
                <w:sz w:val="22"/>
                <w:szCs w:val="22"/>
              </w:rPr>
              <w:t xml:space="preserve">RU.13/0770 Aviator Park – payment due Prior to occupation of 100th Dwelling </w:t>
            </w:r>
          </w:p>
        </w:tc>
      </w:tr>
      <w:tr w:rsidR="00E51808" w:rsidRPr="00501C8E" w:rsidTr="00E51808">
        <w:tc>
          <w:tcPr>
            <w:tcW w:w="1100" w:type="dxa"/>
          </w:tcPr>
          <w:p w:rsidR="00E51808" w:rsidRPr="00501C8E" w:rsidRDefault="00E51808" w:rsidP="00E51808">
            <w:pPr>
              <w:rPr>
                <w:rFonts w:ascii="Arial" w:hAnsi="Arial" w:cs="Arial"/>
                <w:sz w:val="22"/>
                <w:szCs w:val="22"/>
              </w:rPr>
            </w:pPr>
            <w:r w:rsidRPr="00501C8E">
              <w:rPr>
                <w:rFonts w:ascii="Arial" w:hAnsi="Arial" w:cs="Arial"/>
                <w:sz w:val="22"/>
                <w:szCs w:val="22"/>
              </w:rPr>
              <w:t>Q4 17/18</w:t>
            </w:r>
          </w:p>
        </w:tc>
        <w:tc>
          <w:tcPr>
            <w:tcW w:w="1985" w:type="dxa"/>
          </w:tcPr>
          <w:p w:rsidR="00E51808" w:rsidRPr="00501C8E" w:rsidRDefault="00E51808" w:rsidP="00E51808">
            <w:pPr>
              <w:rPr>
                <w:rFonts w:ascii="Arial" w:hAnsi="Arial" w:cs="Arial"/>
                <w:sz w:val="22"/>
                <w:szCs w:val="22"/>
              </w:rPr>
            </w:pPr>
            <w:r w:rsidRPr="00501C8E">
              <w:rPr>
                <w:rFonts w:ascii="Arial" w:hAnsi="Arial" w:cs="Arial"/>
                <w:sz w:val="22"/>
                <w:szCs w:val="22"/>
              </w:rPr>
              <w:t>£65,000</w:t>
            </w:r>
          </w:p>
        </w:tc>
        <w:tc>
          <w:tcPr>
            <w:tcW w:w="6061" w:type="dxa"/>
          </w:tcPr>
          <w:p w:rsidR="00E51808" w:rsidRPr="00501C8E" w:rsidRDefault="00E51808" w:rsidP="00E51808">
            <w:pPr>
              <w:rPr>
                <w:rFonts w:ascii="Arial" w:hAnsi="Arial" w:cs="Arial"/>
                <w:sz w:val="22"/>
                <w:szCs w:val="22"/>
              </w:rPr>
            </w:pPr>
            <w:r w:rsidRPr="00501C8E">
              <w:rPr>
                <w:rFonts w:ascii="Arial" w:hAnsi="Arial" w:cs="Arial"/>
                <w:sz w:val="22"/>
                <w:szCs w:val="22"/>
              </w:rPr>
              <w:t>RU.15/0934 Thorpe Park Hotel – payment due before Practical completion of Phase 1</w:t>
            </w:r>
          </w:p>
        </w:tc>
      </w:tr>
      <w:tr w:rsidR="00E51808" w:rsidRPr="00501C8E" w:rsidTr="00E51808">
        <w:tc>
          <w:tcPr>
            <w:tcW w:w="1100" w:type="dxa"/>
          </w:tcPr>
          <w:p w:rsidR="00E51808" w:rsidRPr="00501C8E" w:rsidRDefault="00E51808" w:rsidP="00E51808">
            <w:pPr>
              <w:rPr>
                <w:rFonts w:ascii="Arial" w:hAnsi="Arial" w:cs="Arial"/>
                <w:sz w:val="22"/>
                <w:szCs w:val="22"/>
              </w:rPr>
            </w:pPr>
            <w:r w:rsidRPr="00501C8E">
              <w:rPr>
                <w:rFonts w:ascii="Arial" w:hAnsi="Arial" w:cs="Arial"/>
                <w:sz w:val="22"/>
                <w:szCs w:val="22"/>
              </w:rPr>
              <w:lastRenderedPageBreak/>
              <w:t>Q1 18/19</w:t>
            </w:r>
          </w:p>
        </w:tc>
        <w:tc>
          <w:tcPr>
            <w:tcW w:w="1985" w:type="dxa"/>
          </w:tcPr>
          <w:p w:rsidR="00E51808" w:rsidRPr="00501C8E" w:rsidRDefault="00E51808" w:rsidP="00E51808">
            <w:pPr>
              <w:rPr>
                <w:rFonts w:ascii="Arial" w:hAnsi="Arial" w:cs="Arial"/>
                <w:sz w:val="22"/>
                <w:szCs w:val="22"/>
              </w:rPr>
            </w:pPr>
            <w:r w:rsidRPr="00501C8E">
              <w:rPr>
                <w:rFonts w:ascii="Arial" w:hAnsi="Arial" w:cs="Arial"/>
                <w:sz w:val="22"/>
                <w:szCs w:val="22"/>
              </w:rPr>
              <w:t>£150,000</w:t>
            </w:r>
          </w:p>
        </w:tc>
        <w:tc>
          <w:tcPr>
            <w:tcW w:w="6061" w:type="dxa"/>
          </w:tcPr>
          <w:p w:rsidR="00E51808" w:rsidRPr="00501C8E" w:rsidRDefault="00E51808" w:rsidP="00E51808">
            <w:pPr>
              <w:rPr>
                <w:rFonts w:ascii="Arial" w:hAnsi="Arial" w:cs="Arial"/>
                <w:sz w:val="22"/>
                <w:szCs w:val="22"/>
              </w:rPr>
            </w:pPr>
            <w:r w:rsidRPr="00501C8E">
              <w:rPr>
                <w:rFonts w:ascii="Arial" w:hAnsi="Arial" w:cs="Arial"/>
                <w:sz w:val="22"/>
                <w:szCs w:val="22"/>
              </w:rPr>
              <w:t>RU.13/0856 DERA North – payment due Prior to Occupation of 25,000 sqm B1 Floorspace</w:t>
            </w:r>
          </w:p>
        </w:tc>
      </w:tr>
      <w:tr w:rsidR="00E51808" w:rsidRPr="00501C8E" w:rsidTr="00E51808">
        <w:tc>
          <w:tcPr>
            <w:tcW w:w="1100" w:type="dxa"/>
          </w:tcPr>
          <w:p w:rsidR="00E51808" w:rsidRPr="00501C8E" w:rsidRDefault="00E51808" w:rsidP="00E51808">
            <w:pPr>
              <w:rPr>
                <w:rFonts w:ascii="Arial" w:hAnsi="Arial" w:cs="Arial"/>
                <w:sz w:val="22"/>
                <w:szCs w:val="22"/>
              </w:rPr>
            </w:pPr>
            <w:r w:rsidRPr="00501C8E">
              <w:rPr>
                <w:rFonts w:ascii="Arial" w:hAnsi="Arial" w:cs="Arial"/>
                <w:sz w:val="22"/>
                <w:szCs w:val="22"/>
              </w:rPr>
              <w:t>Q2 18/19</w:t>
            </w:r>
          </w:p>
        </w:tc>
        <w:tc>
          <w:tcPr>
            <w:tcW w:w="1985" w:type="dxa"/>
          </w:tcPr>
          <w:p w:rsidR="00E51808" w:rsidRPr="00501C8E" w:rsidRDefault="00E51808" w:rsidP="00E51808">
            <w:pPr>
              <w:rPr>
                <w:rFonts w:ascii="Arial" w:hAnsi="Arial" w:cs="Arial"/>
                <w:sz w:val="22"/>
                <w:szCs w:val="22"/>
              </w:rPr>
            </w:pPr>
            <w:r w:rsidRPr="00501C8E">
              <w:rPr>
                <w:rFonts w:ascii="Arial" w:hAnsi="Arial" w:cs="Arial"/>
                <w:sz w:val="22"/>
                <w:szCs w:val="22"/>
              </w:rPr>
              <w:t>£100,000</w:t>
            </w:r>
          </w:p>
        </w:tc>
        <w:tc>
          <w:tcPr>
            <w:tcW w:w="6061" w:type="dxa"/>
          </w:tcPr>
          <w:p w:rsidR="00E51808" w:rsidRPr="00501C8E" w:rsidRDefault="00E51808" w:rsidP="00E51808">
            <w:pPr>
              <w:rPr>
                <w:rFonts w:ascii="Arial" w:hAnsi="Arial" w:cs="Arial"/>
                <w:sz w:val="22"/>
                <w:szCs w:val="22"/>
              </w:rPr>
            </w:pPr>
            <w:r w:rsidRPr="00501C8E">
              <w:rPr>
                <w:rFonts w:ascii="Arial" w:hAnsi="Arial" w:cs="Arial"/>
                <w:sz w:val="22"/>
                <w:szCs w:val="22"/>
              </w:rPr>
              <w:t>RU.15/0934 Thorpe Park Hotel – payment due before Opening to the public of Phase 1</w:t>
            </w:r>
          </w:p>
        </w:tc>
      </w:tr>
      <w:tr w:rsidR="00E51808" w:rsidRPr="00501C8E" w:rsidTr="00E51808">
        <w:tc>
          <w:tcPr>
            <w:tcW w:w="1100" w:type="dxa"/>
          </w:tcPr>
          <w:p w:rsidR="00E51808" w:rsidRPr="00501C8E" w:rsidRDefault="00E1069B" w:rsidP="00E51808">
            <w:pPr>
              <w:rPr>
                <w:rFonts w:ascii="Arial" w:hAnsi="Arial" w:cs="Arial"/>
                <w:sz w:val="22"/>
                <w:szCs w:val="22"/>
              </w:rPr>
            </w:pPr>
            <w:r w:rsidRPr="00501C8E">
              <w:rPr>
                <w:rFonts w:ascii="Arial" w:hAnsi="Arial" w:cs="Arial"/>
                <w:sz w:val="22"/>
                <w:szCs w:val="22"/>
              </w:rPr>
              <w:t>Q3 18/19</w:t>
            </w:r>
          </w:p>
        </w:tc>
        <w:tc>
          <w:tcPr>
            <w:tcW w:w="1985" w:type="dxa"/>
          </w:tcPr>
          <w:p w:rsidR="00E51808" w:rsidRPr="00501C8E" w:rsidRDefault="00E1069B" w:rsidP="00E51808">
            <w:pPr>
              <w:rPr>
                <w:rFonts w:ascii="Arial" w:hAnsi="Arial" w:cs="Arial"/>
                <w:sz w:val="22"/>
                <w:szCs w:val="22"/>
              </w:rPr>
            </w:pPr>
            <w:r w:rsidRPr="00501C8E">
              <w:rPr>
                <w:rFonts w:ascii="Arial" w:hAnsi="Arial" w:cs="Arial"/>
                <w:sz w:val="22"/>
                <w:szCs w:val="22"/>
              </w:rPr>
              <w:t>£53,675</w:t>
            </w:r>
          </w:p>
        </w:tc>
        <w:tc>
          <w:tcPr>
            <w:tcW w:w="6061" w:type="dxa"/>
          </w:tcPr>
          <w:p w:rsidR="00E51808" w:rsidRPr="00501C8E" w:rsidRDefault="00E1069B" w:rsidP="00E51808">
            <w:pPr>
              <w:rPr>
                <w:rFonts w:ascii="Arial" w:hAnsi="Arial" w:cs="Arial"/>
                <w:sz w:val="22"/>
                <w:szCs w:val="22"/>
              </w:rPr>
            </w:pPr>
            <w:r w:rsidRPr="00501C8E">
              <w:rPr>
                <w:rFonts w:ascii="Arial" w:hAnsi="Arial" w:cs="Arial"/>
                <w:sz w:val="22"/>
                <w:szCs w:val="22"/>
              </w:rPr>
              <w:t>RU.14/0435 Addlestone ONE – payment due Prior to Occupation of last dwelling of Phase 2</w:t>
            </w:r>
          </w:p>
        </w:tc>
      </w:tr>
      <w:tr w:rsidR="00E51808" w:rsidRPr="00501C8E" w:rsidTr="00E51808">
        <w:tc>
          <w:tcPr>
            <w:tcW w:w="1100" w:type="dxa"/>
          </w:tcPr>
          <w:p w:rsidR="00E51808" w:rsidRPr="00501C8E" w:rsidRDefault="00E1069B" w:rsidP="00E51808">
            <w:pPr>
              <w:rPr>
                <w:rFonts w:ascii="Arial" w:hAnsi="Arial" w:cs="Arial"/>
                <w:sz w:val="22"/>
                <w:szCs w:val="22"/>
              </w:rPr>
            </w:pPr>
            <w:r w:rsidRPr="00501C8E">
              <w:rPr>
                <w:rFonts w:ascii="Arial" w:hAnsi="Arial" w:cs="Arial"/>
                <w:sz w:val="22"/>
                <w:szCs w:val="22"/>
              </w:rPr>
              <w:t>Q1 19/20</w:t>
            </w:r>
          </w:p>
        </w:tc>
        <w:tc>
          <w:tcPr>
            <w:tcW w:w="1985" w:type="dxa"/>
          </w:tcPr>
          <w:p w:rsidR="00E51808" w:rsidRPr="00501C8E" w:rsidRDefault="00E1069B" w:rsidP="00E51808">
            <w:pPr>
              <w:rPr>
                <w:rFonts w:ascii="Arial" w:hAnsi="Arial" w:cs="Arial"/>
                <w:sz w:val="22"/>
                <w:szCs w:val="22"/>
              </w:rPr>
            </w:pPr>
            <w:r w:rsidRPr="00501C8E">
              <w:rPr>
                <w:rFonts w:ascii="Arial" w:hAnsi="Arial" w:cs="Arial"/>
                <w:sz w:val="22"/>
                <w:szCs w:val="22"/>
              </w:rPr>
              <w:t>£48,930</w:t>
            </w:r>
          </w:p>
        </w:tc>
        <w:tc>
          <w:tcPr>
            <w:tcW w:w="6061" w:type="dxa"/>
          </w:tcPr>
          <w:p w:rsidR="00E51808" w:rsidRPr="00501C8E" w:rsidRDefault="00E1069B" w:rsidP="00E51808">
            <w:pPr>
              <w:rPr>
                <w:rFonts w:ascii="Arial" w:hAnsi="Arial" w:cs="Arial"/>
                <w:sz w:val="22"/>
                <w:szCs w:val="22"/>
              </w:rPr>
            </w:pPr>
            <w:r w:rsidRPr="00501C8E">
              <w:rPr>
                <w:rFonts w:ascii="Arial" w:hAnsi="Arial" w:cs="Arial"/>
                <w:sz w:val="22"/>
                <w:szCs w:val="22"/>
              </w:rPr>
              <w:t>RU.13/0770 Aviator Park – payment due Prior to occupation of final dwelling</w:t>
            </w:r>
          </w:p>
        </w:tc>
      </w:tr>
    </w:tbl>
    <w:p w:rsidR="00E51808" w:rsidRPr="00501C8E" w:rsidRDefault="00E51808" w:rsidP="00E51808">
      <w:pPr>
        <w:ind w:left="709" w:hanging="709"/>
        <w:rPr>
          <w:rFonts w:ascii="Arial" w:hAnsi="Arial" w:cs="Arial"/>
          <w:sz w:val="22"/>
          <w:szCs w:val="22"/>
          <w:highlight w:val="yellow"/>
        </w:rPr>
      </w:pPr>
    </w:p>
    <w:p w:rsidR="00E1069B" w:rsidRPr="00501C8E" w:rsidRDefault="00E1069B" w:rsidP="00E1069B">
      <w:pPr>
        <w:ind w:left="720" w:hanging="720"/>
        <w:rPr>
          <w:rFonts w:ascii="Arial" w:hAnsi="Arial" w:cs="Arial"/>
          <w:sz w:val="22"/>
          <w:szCs w:val="22"/>
        </w:rPr>
      </w:pPr>
      <w:r w:rsidRPr="00501C8E">
        <w:rPr>
          <w:rFonts w:ascii="Arial" w:hAnsi="Arial" w:cs="Arial"/>
          <w:sz w:val="22"/>
          <w:szCs w:val="22"/>
        </w:rPr>
        <w:t>2.9</w:t>
      </w:r>
      <w:r w:rsidRPr="00501C8E">
        <w:rPr>
          <w:rFonts w:ascii="Arial" w:hAnsi="Arial" w:cs="Arial"/>
          <w:sz w:val="22"/>
          <w:szCs w:val="22"/>
        </w:rPr>
        <w:tab/>
        <w:t xml:space="preserve">However, there can be no certainty over the receipt of some or all of these monies. Therefore the Yellow Bus Scheme will continue to be a drain on General Fund resources if </w:t>
      </w:r>
      <w:r w:rsidR="00455FD7">
        <w:rPr>
          <w:rFonts w:ascii="Arial" w:hAnsi="Arial" w:cs="Arial"/>
          <w:sz w:val="22"/>
          <w:szCs w:val="22"/>
        </w:rPr>
        <w:t>M</w:t>
      </w:r>
      <w:r w:rsidRPr="00501C8E">
        <w:rPr>
          <w:rFonts w:ascii="Arial" w:hAnsi="Arial" w:cs="Arial"/>
          <w:sz w:val="22"/>
          <w:szCs w:val="22"/>
        </w:rPr>
        <w:t xml:space="preserve">embers decide to continue to operate the scheme through to the review date of 2019/20. </w:t>
      </w:r>
    </w:p>
    <w:p w:rsidR="001525A4" w:rsidRPr="00501C8E" w:rsidRDefault="001525A4" w:rsidP="00F21659">
      <w:pPr>
        <w:tabs>
          <w:tab w:val="left" w:pos="720"/>
        </w:tabs>
        <w:ind w:left="720" w:hanging="720"/>
        <w:rPr>
          <w:rFonts w:ascii="Arial" w:hAnsi="Arial" w:cs="Arial"/>
          <w:sz w:val="22"/>
          <w:szCs w:val="22"/>
        </w:rPr>
      </w:pPr>
    </w:p>
    <w:p w:rsidR="001525A4" w:rsidRPr="00501C8E" w:rsidRDefault="00E1069B" w:rsidP="001525A4">
      <w:pPr>
        <w:tabs>
          <w:tab w:val="left" w:pos="720"/>
        </w:tabs>
        <w:ind w:left="720" w:hanging="720"/>
        <w:rPr>
          <w:rFonts w:ascii="Arial" w:hAnsi="Arial" w:cs="Arial"/>
          <w:sz w:val="22"/>
          <w:szCs w:val="22"/>
        </w:rPr>
      </w:pPr>
      <w:r w:rsidRPr="00501C8E">
        <w:rPr>
          <w:rFonts w:ascii="Arial" w:hAnsi="Arial" w:cs="Arial"/>
          <w:sz w:val="22"/>
          <w:szCs w:val="22"/>
        </w:rPr>
        <w:t>2.10</w:t>
      </w:r>
      <w:r w:rsidR="001525A4" w:rsidRPr="00501C8E">
        <w:rPr>
          <w:rFonts w:ascii="Arial" w:hAnsi="Arial" w:cs="Arial"/>
          <w:sz w:val="22"/>
          <w:szCs w:val="22"/>
        </w:rPr>
        <w:tab/>
        <w:t>Another area of significant expenditure where the Corporate Head of Resources believes the budget forecasting may be showing a significant understatement of expenditure is the Vehicle Maintenance budget. Since 2013 the direct cost of recycling, green waste, trade waste, refuse collection and street cleansing has increased by more than inflation each year. One of the major concerns is the escalating cost of vehicle maintenance. A challenging savings target against the costs of maintenance has been set for the DSO.  With changes in economic conditions forcing up the price of fuel, this problem may get worse and the savings target is currently not being met with a current £</w:t>
      </w:r>
      <w:r w:rsidRPr="00501C8E">
        <w:rPr>
          <w:rFonts w:ascii="Arial" w:hAnsi="Arial" w:cs="Arial"/>
          <w:sz w:val="22"/>
          <w:szCs w:val="22"/>
        </w:rPr>
        <w:t>3</w:t>
      </w:r>
      <w:r w:rsidR="001525A4" w:rsidRPr="00501C8E">
        <w:rPr>
          <w:rFonts w:ascii="Arial" w:hAnsi="Arial" w:cs="Arial"/>
          <w:sz w:val="22"/>
          <w:szCs w:val="22"/>
        </w:rPr>
        <w:t>5,000 overspend on this budget</w:t>
      </w:r>
      <w:r w:rsidR="005756A0" w:rsidRPr="00501C8E">
        <w:rPr>
          <w:rFonts w:ascii="Arial" w:hAnsi="Arial" w:cs="Arial"/>
          <w:sz w:val="22"/>
          <w:szCs w:val="22"/>
        </w:rPr>
        <w:t xml:space="preserve"> at the end of September</w:t>
      </w:r>
      <w:r w:rsidR="001525A4" w:rsidRPr="00501C8E">
        <w:rPr>
          <w:rFonts w:ascii="Arial" w:hAnsi="Arial" w:cs="Arial"/>
          <w:sz w:val="22"/>
          <w:szCs w:val="22"/>
        </w:rPr>
        <w:t xml:space="preserve">. </w:t>
      </w:r>
      <w:r w:rsidR="005756A0" w:rsidRPr="00501C8E">
        <w:rPr>
          <w:rFonts w:ascii="Arial" w:hAnsi="Arial" w:cs="Arial"/>
          <w:sz w:val="22"/>
          <w:szCs w:val="22"/>
        </w:rPr>
        <w:t xml:space="preserve"> </w:t>
      </w:r>
      <w:r w:rsidR="001525A4" w:rsidRPr="00501C8E">
        <w:rPr>
          <w:rFonts w:ascii="Arial" w:hAnsi="Arial" w:cs="Arial"/>
          <w:sz w:val="22"/>
          <w:szCs w:val="22"/>
        </w:rPr>
        <w:t>The Corporate Head of Planning and Environmental Services is confident that the overspend will not exceed £</w:t>
      </w:r>
      <w:r w:rsidRPr="00501C8E">
        <w:rPr>
          <w:rFonts w:ascii="Arial" w:hAnsi="Arial" w:cs="Arial"/>
          <w:sz w:val="22"/>
          <w:szCs w:val="22"/>
        </w:rPr>
        <w:t>8</w:t>
      </w:r>
      <w:r w:rsidR="001525A4" w:rsidRPr="00501C8E">
        <w:rPr>
          <w:rFonts w:ascii="Arial" w:hAnsi="Arial" w:cs="Arial"/>
          <w:sz w:val="22"/>
          <w:szCs w:val="22"/>
        </w:rPr>
        <w:t>0,000 at the end of the year</w:t>
      </w:r>
      <w:r w:rsidR="005756A0" w:rsidRPr="00501C8E">
        <w:rPr>
          <w:rFonts w:ascii="Arial" w:hAnsi="Arial" w:cs="Arial"/>
          <w:sz w:val="22"/>
          <w:szCs w:val="22"/>
        </w:rPr>
        <w:t>, and this has been factored into Table 2 accordingly</w:t>
      </w:r>
      <w:r w:rsidR="001525A4" w:rsidRPr="00501C8E">
        <w:rPr>
          <w:rFonts w:ascii="Arial" w:hAnsi="Arial" w:cs="Arial"/>
          <w:sz w:val="22"/>
          <w:szCs w:val="22"/>
        </w:rPr>
        <w:t>.</w:t>
      </w:r>
    </w:p>
    <w:p w:rsidR="001525A4" w:rsidRPr="00501C8E" w:rsidRDefault="001525A4" w:rsidP="001525A4">
      <w:pPr>
        <w:tabs>
          <w:tab w:val="left" w:pos="720"/>
        </w:tabs>
        <w:ind w:left="720" w:hanging="720"/>
        <w:rPr>
          <w:rFonts w:ascii="Arial" w:hAnsi="Arial" w:cs="Arial"/>
          <w:sz w:val="22"/>
          <w:szCs w:val="22"/>
        </w:rPr>
      </w:pPr>
    </w:p>
    <w:p w:rsidR="005645C6" w:rsidRPr="00501C8E" w:rsidRDefault="00E1069B" w:rsidP="001525A4">
      <w:pPr>
        <w:tabs>
          <w:tab w:val="left" w:pos="720"/>
        </w:tabs>
        <w:ind w:left="720" w:hanging="720"/>
        <w:rPr>
          <w:rFonts w:ascii="Arial" w:hAnsi="Arial" w:cs="Arial"/>
          <w:sz w:val="22"/>
          <w:szCs w:val="22"/>
        </w:rPr>
      </w:pPr>
      <w:r w:rsidRPr="00501C8E">
        <w:rPr>
          <w:rFonts w:ascii="Arial" w:hAnsi="Arial" w:cs="Arial"/>
          <w:sz w:val="22"/>
          <w:szCs w:val="22"/>
        </w:rPr>
        <w:t>2.11</w:t>
      </w:r>
      <w:r w:rsidRPr="00501C8E">
        <w:rPr>
          <w:rFonts w:ascii="Arial" w:hAnsi="Arial" w:cs="Arial"/>
          <w:sz w:val="22"/>
          <w:szCs w:val="22"/>
        </w:rPr>
        <w:tab/>
      </w:r>
      <w:r w:rsidR="001525A4" w:rsidRPr="00501C8E">
        <w:rPr>
          <w:rFonts w:ascii="Arial" w:hAnsi="Arial" w:cs="Arial"/>
          <w:sz w:val="22"/>
          <w:szCs w:val="22"/>
        </w:rPr>
        <w:t xml:space="preserve">A further issue of concern relates to the uncertainty regarding New Homes Bonus (NHB) payments. The Government has consulted on the NHB reward grant and while the Council’s tax base has, and will increase, with 275 units identified in the September base data by Government no new NHB has been anticipated in the MTFS.  </w:t>
      </w:r>
      <w:r w:rsidRPr="00501C8E">
        <w:rPr>
          <w:rFonts w:ascii="Arial" w:hAnsi="Arial" w:cs="Arial"/>
          <w:sz w:val="22"/>
          <w:szCs w:val="22"/>
        </w:rPr>
        <w:t>The awaited consultation includes potential reductions in NHB payment</w:t>
      </w:r>
      <w:r w:rsidR="005645C6" w:rsidRPr="00501C8E">
        <w:rPr>
          <w:rFonts w:ascii="Arial" w:hAnsi="Arial" w:cs="Arial"/>
          <w:sz w:val="22"/>
          <w:szCs w:val="22"/>
        </w:rPr>
        <w:t>s</w:t>
      </w:r>
      <w:r w:rsidRPr="00501C8E">
        <w:rPr>
          <w:rFonts w:ascii="Arial" w:hAnsi="Arial" w:cs="Arial"/>
          <w:sz w:val="22"/>
          <w:szCs w:val="22"/>
        </w:rPr>
        <w:t xml:space="preserve"> through a reduction in the legacy payment periods from six years to four, or potentially even to two.  Further reductions are also likely associated with the introduction of a ‘deadweight’ estimate to new home numbers</w:t>
      </w:r>
      <w:r w:rsidR="005645C6" w:rsidRPr="00501C8E">
        <w:rPr>
          <w:rFonts w:ascii="Arial" w:hAnsi="Arial" w:cs="Arial"/>
          <w:sz w:val="22"/>
          <w:szCs w:val="22"/>
        </w:rPr>
        <w:t xml:space="preserve">. </w:t>
      </w:r>
      <w:r w:rsidR="001525A4" w:rsidRPr="00501C8E">
        <w:rPr>
          <w:rFonts w:ascii="Arial" w:hAnsi="Arial" w:cs="Arial"/>
          <w:sz w:val="22"/>
          <w:szCs w:val="22"/>
        </w:rPr>
        <w:t xml:space="preserve">The </w:t>
      </w:r>
      <w:r w:rsidR="005756A0" w:rsidRPr="00501C8E">
        <w:rPr>
          <w:rFonts w:ascii="Arial" w:hAnsi="Arial" w:cs="Arial"/>
          <w:sz w:val="22"/>
          <w:szCs w:val="22"/>
        </w:rPr>
        <w:t>anticipated</w:t>
      </w:r>
      <w:r w:rsidR="001525A4" w:rsidRPr="00501C8E">
        <w:rPr>
          <w:rFonts w:ascii="Arial" w:hAnsi="Arial" w:cs="Arial"/>
          <w:sz w:val="22"/>
          <w:szCs w:val="22"/>
        </w:rPr>
        <w:t xml:space="preserve"> delay in the Local Plan is</w:t>
      </w:r>
      <w:r w:rsidRPr="00501C8E">
        <w:rPr>
          <w:rFonts w:ascii="Arial" w:hAnsi="Arial" w:cs="Arial"/>
          <w:sz w:val="22"/>
          <w:szCs w:val="22"/>
        </w:rPr>
        <w:t xml:space="preserve"> also</w:t>
      </w:r>
      <w:r w:rsidR="001525A4" w:rsidRPr="00501C8E">
        <w:rPr>
          <w:rFonts w:ascii="Arial" w:hAnsi="Arial" w:cs="Arial"/>
          <w:sz w:val="22"/>
          <w:szCs w:val="22"/>
        </w:rPr>
        <w:t xml:space="preserve"> one of the NHB areas of uncertainty with a risk of no additional payments while a plan remains unpublished, which could account for as much as £350k in 2017/18.</w:t>
      </w:r>
      <w:r w:rsidR="005645C6" w:rsidRPr="00501C8E">
        <w:rPr>
          <w:rFonts w:ascii="Arial" w:hAnsi="Arial" w:cs="Arial"/>
          <w:sz w:val="22"/>
          <w:szCs w:val="22"/>
        </w:rPr>
        <w:t xml:space="preserve"> </w:t>
      </w:r>
      <w:r w:rsidR="00741782" w:rsidRPr="00501C8E">
        <w:rPr>
          <w:rFonts w:ascii="Arial" w:hAnsi="Arial" w:cs="Arial"/>
          <w:sz w:val="22"/>
          <w:szCs w:val="22"/>
        </w:rPr>
        <w:t>Dependent on the outcome of the consultation which contains a range of methods for reducing the payment by central government and the method of calculation the assumed £1.580 million could be a risk.</w:t>
      </w:r>
    </w:p>
    <w:p w:rsidR="005645C6" w:rsidRPr="00501C8E" w:rsidRDefault="005645C6" w:rsidP="001525A4">
      <w:pPr>
        <w:tabs>
          <w:tab w:val="left" w:pos="720"/>
        </w:tabs>
        <w:ind w:left="720" w:hanging="720"/>
        <w:rPr>
          <w:rFonts w:ascii="Arial" w:hAnsi="Arial" w:cs="Arial"/>
          <w:sz w:val="22"/>
          <w:szCs w:val="22"/>
        </w:rPr>
      </w:pPr>
    </w:p>
    <w:p w:rsidR="001525A4" w:rsidRPr="00501C8E" w:rsidRDefault="005645C6" w:rsidP="001525A4">
      <w:pPr>
        <w:tabs>
          <w:tab w:val="left" w:pos="720"/>
        </w:tabs>
        <w:ind w:left="720" w:hanging="720"/>
        <w:rPr>
          <w:rFonts w:ascii="Arial" w:hAnsi="Arial" w:cs="Arial"/>
          <w:sz w:val="22"/>
          <w:szCs w:val="22"/>
        </w:rPr>
      </w:pPr>
      <w:r w:rsidRPr="00501C8E">
        <w:rPr>
          <w:rFonts w:ascii="Arial" w:hAnsi="Arial" w:cs="Arial"/>
          <w:sz w:val="22"/>
          <w:szCs w:val="22"/>
        </w:rPr>
        <w:t>2.12</w:t>
      </w:r>
      <w:r w:rsidRPr="00501C8E">
        <w:rPr>
          <w:rFonts w:ascii="Arial" w:hAnsi="Arial" w:cs="Arial"/>
          <w:sz w:val="22"/>
          <w:szCs w:val="22"/>
        </w:rPr>
        <w:tab/>
        <w:t>The delay in the Local Plan is associated with the need to examine consultations and late submissions which could have a profound impact on the Local Plan, as well as a consideration for the Government</w:t>
      </w:r>
      <w:r w:rsidR="00455FD7">
        <w:rPr>
          <w:rFonts w:ascii="Arial" w:hAnsi="Arial" w:cs="Arial"/>
          <w:sz w:val="22"/>
          <w:szCs w:val="22"/>
        </w:rPr>
        <w:t>’</w:t>
      </w:r>
      <w:r w:rsidRPr="00501C8E">
        <w:rPr>
          <w:rFonts w:ascii="Arial" w:hAnsi="Arial" w:cs="Arial"/>
          <w:sz w:val="22"/>
          <w:szCs w:val="22"/>
        </w:rPr>
        <w:t>s current intention to publish a National Planning Policy Statement on Aviation.  The need to examine these consultations has resulted in the requirement for some additional consultancy, the costs of which have been factored into Table 2 above.  The Government’s imposed deadline was always ambitious and the Local Plan is expected to be ready for submission between November and Christmas 2017</w:t>
      </w:r>
      <w:r w:rsidR="00741782" w:rsidRPr="00501C8E">
        <w:rPr>
          <w:rFonts w:ascii="Arial" w:hAnsi="Arial" w:cs="Arial"/>
          <w:sz w:val="22"/>
          <w:szCs w:val="22"/>
        </w:rPr>
        <w:t>.</w:t>
      </w:r>
      <w:r w:rsidR="001525A4" w:rsidRPr="00501C8E">
        <w:rPr>
          <w:rFonts w:ascii="Arial" w:hAnsi="Arial" w:cs="Arial"/>
          <w:sz w:val="22"/>
          <w:szCs w:val="22"/>
        </w:rPr>
        <w:t xml:space="preserve">  </w:t>
      </w:r>
    </w:p>
    <w:p w:rsidR="00766244" w:rsidRPr="00501C8E" w:rsidRDefault="00766244" w:rsidP="00F21659">
      <w:pPr>
        <w:tabs>
          <w:tab w:val="left" w:pos="720"/>
        </w:tabs>
        <w:ind w:left="720" w:hanging="720"/>
        <w:rPr>
          <w:rFonts w:ascii="Arial" w:hAnsi="Arial" w:cs="Arial"/>
          <w:sz w:val="22"/>
          <w:szCs w:val="22"/>
        </w:rPr>
      </w:pPr>
    </w:p>
    <w:p w:rsidR="002570C8" w:rsidRPr="00501C8E" w:rsidRDefault="00E1069B" w:rsidP="00F21659">
      <w:pPr>
        <w:tabs>
          <w:tab w:val="left" w:pos="720"/>
        </w:tabs>
        <w:ind w:left="720" w:hanging="720"/>
        <w:rPr>
          <w:rFonts w:ascii="Arial" w:hAnsi="Arial" w:cs="Arial"/>
          <w:sz w:val="22"/>
          <w:szCs w:val="22"/>
        </w:rPr>
      </w:pPr>
      <w:r w:rsidRPr="00501C8E">
        <w:rPr>
          <w:rFonts w:ascii="Arial" w:hAnsi="Arial" w:cs="Arial"/>
          <w:sz w:val="22"/>
          <w:szCs w:val="22"/>
        </w:rPr>
        <w:t>2.1</w:t>
      </w:r>
      <w:r w:rsidR="005645C6" w:rsidRPr="00501C8E">
        <w:rPr>
          <w:rFonts w:ascii="Arial" w:hAnsi="Arial" w:cs="Arial"/>
          <w:sz w:val="22"/>
          <w:szCs w:val="22"/>
        </w:rPr>
        <w:t>3</w:t>
      </w:r>
      <w:r w:rsidR="002570C8" w:rsidRPr="00501C8E">
        <w:rPr>
          <w:rFonts w:ascii="Arial" w:hAnsi="Arial" w:cs="Arial"/>
          <w:sz w:val="22"/>
          <w:szCs w:val="22"/>
        </w:rPr>
        <w:tab/>
      </w:r>
      <w:r w:rsidR="00FF1A4F" w:rsidRPr="00501C8E">
        <w:rPr>
          <w:rFonts w:ascii="Arial" w:hAnsi="Arial" w:cs="Arial"/>
          <w:sz w:val="22"/>
          <w:szCs w:val="22"/>
        </w:rPr>
        <w:t xml:space="preserve">A final pressure results from the </w:t>
      </w:r>
      <w:r w:rsidR="002570C8" w:rsidRPr="00501C8E">
        <w:rPr>
          <w:rFonts w:ascii="Arial" w:hAnsi="Arial" w:cs="Arial"/>
          <w:sz w:val="22"/>
          <w:szCs w:val="22"/>
        </w:rPr>
        <w:t>Resources restructure</w:t>
      </w:r>
      <w:r w:rsidR="00FF1A4F" w:rsidRPr="00501C8E">
        <w:rPr>
          <w:rFonts w:ascii="Arial" w:hAnsi="Arial" w:cs="Arial"/>
          <w:sz w:val="22"/>
          <w:szCs w:val="22"/>
        </w:rPr>
        <w:t xml:space="preserve">.  </w:t>
      </w:r>
      <w:r w:rsidR="002570C8" w:rsidRPr="00501C8E">
        <w:rPr>
          <w:rFonts w:ascii="Arial" w:hAnsi="Arial" w:cs="Arial"/>
          <w:sz w:val="22"/>
          <w:szCs w:val="22"/>
        </w:rPr>
        <w:t>On the 1</w:t>
      </w:r>
      <w:r w:rsidR="002570C8" w:rsidRPr="00501C8E">
        <w:rPr>
          <w:rFonts w:ascii="Arial" w:hAnsi="Arial" w:cs="Arial"/>
          <w:sz w:val="22"/>
          <w:szCs w:val="22"/>
          <w:vertAlign w:val="superscript"/>
        </w:rPr>
        <w:t>st</w:t>
      </w:r>
      <w:r w:rsidR="002570C8" w:rsidRPr="00501C8E">
        <w:rPr>
          <w:rFonts w:ascii="Arial" w:hAnsi="Arial" w:cs="Arial"/>
          <w:sz w:val="22"/>
          <w:szCs w:val="22"/>
        </w:rPr>
        <w:t xml:space="preserve"> April 2016 the Customer Services section was transferred to the Resources division. A full report on the progress made towards achieving the efficiency savings and service improv</w:t>
      </w:r>
      <w:r w:rsidR="00FF1A4F" w:rsidRPr="00501C8E">
        <w:rPr>
          <w:rFonts w:ascii="Arial" w:hAnsi="Arial" w:cs="Arial"/>
          <w:sz w:val="22"/>
          <w:szCs w:val="22"/>
        </w:rPr>
        <w:t>e</w:t>
      </w:r>
      <w:r w:rsidR="002570C8" w:rsidRPr="00501C8E">
        <w:rPr>
          <w:rFonts w:ascii="Arial" w:hAnsi="Arial" w:cs="Arial"/>
          <w:sz w:val="22"/>
          <w:szCs w:val="22"/>
        </w:rPr>
        <w:t xml:space="preserve">ments is </w:t>
      </w:r>
      <w:r w:rsidR="00954866" w:rsidRPr="00501C8E">
        <w:rPr>
          <w:rFonts w:ascii="Arial" w:hAnsi="Arial" w:cs="Arial"/>
          <w:sz w:val="22"/>
          <w:szCs w:val="22"/>
        </w:rPr>
        <w:t>in production</w:t>
      </w:r>
      <w:r w:rsidR="00A8524C" w:rsidRPr="00501C8E">
        <w:rPr>
          <w:rFonts w:ascii="Arial" w:hAnsi="Arial" w:cs="Arial"/>
          <w:sz w:val="22"/>
          <w:szCs w:val="22"/>
        </w:rPr>
        <w:t xml:space="preserve"> for the December meeting, </w:t>
      </w:r>
      <w:r w:rsidR="00954866" w:rsidRPr="00501C8E">
        <w:rPr>
          <w:rFonts w:ascii="Arial" w:hAnsi="Arial" w:cs="Arial"/>
          <w:sz w:val="22"/>
          <w:szCs w:val="22"/>
        </w:rPr>
        <w:t>following a staff assessment centre to appoint staff in</w:t>
      </w:r>
      <w:r w:rsidR="00A8524C" w:rsidRPr="00501C8E">
        <w:rPr>
          <w:rFonts w:ascii="Arial" w:hAnsi="Arial" w:cs="Arial"/>
          <w:sz w:val="22"/>
          <w:szCs w:val="22"/>
        </w:rPr>
        <w:t xml:space="preserve"> </w:t>
      </w:r>
      <w:r w:rsidR="00954866" w:rsidRPr="00501C8E">
        <w:rPr>
          <w:rFonts w:ascii="Arial" w:hAnsi="Arial" w:cs="Arial"/>
          <w:sz w:val="22"/>
          <w:szCs w:val="22"/>
        </w:rPr>
        <w:t>November</w:t>
      </w:r>
      <w:r w:rsidR="002570C8" w:rsidRPr="00501C8E">
        <w:rPr>
          <w:rFonts w:ascii="Arial" w:hAnsi="Arial" w:cs="Arial"/>
          <w:sz w:val="22"/>
          <w:szCs w:val="22"/>
        </w:rPr>
        <w:t xml:space="preserve">. However the timescale for reducing the base budget will take </w:t>
      </w:r>
      <w:r w:rsidR="00A861D3" w:rsidRPr="00501C8E">
        <w:rPr>
          <w:rFonts w:ascii="Arial" w:hAnsi="Arial" w:cs="Arial"/>
          <w:sz w:val="22"/>
          <w:szCs w:val="22"/>
        </w:rPr>
        <w:t>longer</w:t>
      </w:r>
      <w:r w:rsidR="002570C8" w:rsidRPr="00501C8E">
        <w:rPr>
          <w:rFonts w:ascii="Arial" w:hAnsi="Arial" w:cs="Arial"/>
          <w:sz w:val="22"/>
          <w:szCs w:val="22"/>
        </w:rPr>
        <w:t xml:space="preserve"> and the set up costs will not </w:t>
      </w:r>
      <w:r w:rsidR="00FF1A4F" w:rsidRPr="00501C8E">
        <w:rPr>
          <w:rFonts w:ascii="Arial" w:hAnsi="Arial" w:cs="Arial"/>
          <w:sz w:val="22"/>
          <w:szCs w:val="22"/>
        </w:rPr>
        <w:t>be fully known until April 2017.</w:t>
      </w:r>
      <w:r w:rsidR="002570C8" w:rsidRPr="00501C8E">
        <w:rPr>
          <w:rFonts w:ascii="Arial" w:hAnsi="Arial" w:cs="Arial"/>
          <w:sz w:val="22"/>
          <w:szCs w:val="22"/>
        </w:rPr>
        <w:t xml:space="preserve"> </w:t>
      </w:r>
      <w:r w:rsidR="00766244" w:rsidRPr="00501C8E">
        <w:rPr>
          <w:rFonts w:ascii="Arial" w:hAnsi="Arial" w:cs="Arial"/>
          <w:sz w:val="22"/>
          <w:szCs w:val="22"/>
        </w:rPr>
        <w:t xml:space="preserve">One reason is that on reviewing the operational needs of the “back office” a number of posts have been </w:t>
      </w:r>
      <w:r w:rsidR="00C50D27" w:rsidRPr="00501C8E">
        <w:rPr>
          <w:rFonts w:ascii="Arial" w:hAnsi="Arial" w:cs="Arial"/>
          <w:sz w:val="22"/>
          <w:szCs w:val="22"/>
        </w:rPr>
        <w:t>transferred</w:t>
      </w:r>
      <w:r w:rsidR="00766244" w:rsidRPr="00501C8E">
        <w:rPr>
          <w:rFonts w:ascii="Arial" w:hAnsi="Arial" w:cs="Arial"/>
          <w:sz w:val="22"/>
          <w:szCs w:val="22"/>
        </w:rPr>
        <w:t xml:space="preserve"> from Customer Services to two other Corporate Heads. This does reduce the capacity for </w:t>
      </w:r>
      <w:r w:rsidR="00766244" w:rsidRPr="00501C8E">
        <w:rPr>
          <w:rFonts w:ascii="Arial" w:hAnsi="Arial" w:cs="Arial"/>
          <w:sz w:val="22"/>
          <w:szCs w:val="22"/>
        </w:rPr>
        <w:lastRenderedPageBreak/>
        <w:t>savings</w:t>
      </w:r>
      <w:r w:rsidR="00A8524C" w:rsidRPr="00501C8E">
        <w:rPr>
          <w:rFonts w:ascii="Arial" w:hAnsi="Arial" w:cs="Arial"/>
          <w:sz w:val="22"/>
          <w:szCs w:val="22"/>
        </w:rPr>
        <w:t xml:space="preserve"> in the short term, </w:t>
      </w:r>
      <w:r w:rsidR="00766244" w:rsidRPr="00501C8E">
        <w:rPr>
          <w:rFonts w:ascii="Arial" w:hAnsi="Arial" w:cs="Arial"/>
          <w:sz w:val="22"/>
          <w:szCs w:val="22"/>
        </w:rPr>
        <w:t>following the assessment centre and</w:t>
      </w:r>
      <w:r w:rsidR="00A8524C" w:rsidRPr="00501C8E">
        <w:rPr>
          <w:rFonts w:ascii="Arial" w:hAnsi="Arial" w:cs="Arial"/>
          <w:sz w:val="22"/>
          <w:szCs w:val="22"/>
        </w:rPr>
        <w:t xml:space="preserve"> the appointment of a new Head of Customer Services, Revenues and Benefits the project plan will be updated.</w:t>
      </w:r>
      <w:r w:rsidR="00766244" w:rsidRPr="00501C8E">
        <w:rPr>
          <w:rFonts w:ascii="Arial" w:hAnsi="Arial" w:cs="Arial"/>
          <w:sz w:val="22"/>
          <w:szCs w:val="22"/>
        </w:rPr>
        <w:t xml:space="preserve"> </w:t>
      </w:r>
    </w:p>
    <w:p w:rsidR="00854DE7" w:rsidRPr="00501C8E" w:rsidRDefault="00854DE7" w:rsidP="00F21659">
      <w:pPr>
        <w:tabs>
          <w:tab w:val="left" w:pos="720"/>
        </w:tabs>
        <w:ind w:left="720" w:hanging="720"/>
        <w:rPr>
          <w:rFonts w:ascii="Arial" w:hAnsi="Arial" w:cs="Arial"/>
          <w:sz w:val="22"/>
          <w:szCs w:val="22"/>
        </w:rPr>
      </w:pPr>
    </w:p>
    <w:p w:rsidR="00854DE7" w:rsidRPr="00501C8E" w:rsidRDefault="00854DE7" w:rsidP="00F21659">
      <w:pPr>
        <w:tabs>
          <w:tab w:val="left" w:pos="720"/>
        </w:tabs>
        <w:ind w:left="720" w:hanging="720"/>
        <w:rPr>
          <w:rFonts w:ascii="Arial" w:hAnsi="Arial" w:cs="Arial"/>
          <w:sz w:val="22"/>
          <w:szCs w:val="22"/>
          <w:u w:val="single"/>
        </w:rPr>
      </w:pPr>
      <w:r w:rsidRPr="00501C8E">
        <w:rPr>
          <w:rFonts w:ascii="Arial" w:hAnsi="Arial" w:cs="Arial"/>
          <w:sz w:val="22"/>
          <w:szCs w:val="22"/>
        </w:rPr>
        <w:tab/>
      </w:r>
      <w:r w:rsidRPr="00501C8E">
        <w:rPr>
          <w:rFonts w:ascii="Arial" w:hAnsi="Arial" w:cs="Arial"/>
          <w:sz w:val="22"/>
          <w:szCs w:val="22"/>
          <w:u w:val="single"/>
        </w:rPr>
        <w:t>Mitigating actions taken to date</w:t>
      </w:r>
    </w:p>
    <w:p w:rsidR="00E616A1" w:rsidRPr="00501C8E" w:rsidRDefault="00E616A1" w:rsidP="00F21659">
      <w:pPr>
        <w:tabs>
          <w:tab w:val="left" w:pos="720"/>
        </w:tabs>
        <w:ind w:left="720" w:hanging="720"/>
        <w:rPr>
          <w:rFonts w:ascii="Arial" w:hAnsi="Arial" w:cs="Arial"/>
          <w:sz w:val="22"/>
          <w:szCs w:val="22"/>
        </w:rPr>
      </w:pPr>
    </w:p>
    <w:p w:rsidR="00E616A1" w:rsidRPr="00501C8E" w:rsidRDefault="00E1069B" w:rsidP="00E616A1">
      <w:pPr>
        <w:tabs>
          <w:tab w:val="left" w:pos="720"/>
        </w:tabs>
        <w:ind w:left="709" w:hanging="709"/>
        <w:rPr>
          <w:rFonts w:ascii="Arial" w:hAnsi="Arial" w:cs="Arial"/>
          <w:sz w:val="22"/>
          <w:szCs w:val="22"/>
        </w:rPr>
      </w:pPr>
      <w:r w:rsidRPr="00501C8E">
        <w:rPr>
          <w:rFonts w:ascii="Arial" w:hAnsi="Arial" w:cs="Arial"/>
          <w:sz w:val="22"/>
          <w:szCs w:val="22"/>
        </w:rPr>
        <w:t>2.1</w:t>
      </w:r>
      <w:r w:rsidR="005645C6" w:rsidRPr="00501C8E">
        <w:rPr>
          <w:rFonts w:ascii="Arial" w:hAnsi="Arial" w:cs="Arial"/>
          <w:sz w:val="22"/>
          <w:szCs w:val="22"/>
        </w:rPr>
        <w:t>4</w:t>
      </w:r>
      <w:r w:rsidR="00E616A1" w:rsidRPr="00501C8E">
        <w:rPr>
          <w:rFonts w:ascii="Arial" w:hAnsi="Arial" w:cs="Arial"/>
          <w:sz w:val="22"/>
          <w:szCs w:val="22"/>
        </w:rPr>
        <w:tab/>
        <w:t>Officers will shortly be reporting a revised Property Investment Strategy to Members geared to generating more investment income.  Officers will also shortly present a review of the Commercial Services division with a view of generating savings of approximately £160,000.  The Chief Executive has also identified savings of £30,000 in the Corporate budget in the current year.</w:t>
      </w:r>
    </w:p>
    <w:p w:rsidR="00E616A1" w:rsidRPr="00501C8E" w:rsidRDefault="00E616A1" w:rsidP="00F21659">
      <w:pPr>
        <w:tabs>
          <w:tab w:val="left" w:pos="720"/>
        </w:tabs>
        <w:ind w:left="720" w:hanging="720"/>
        <w:rPr>
          <w:rFonts w:ascii="Arial" w:hAnsi="Arial" w:cs="Arial"/>
          <w:sz w:val="22"/>
          <w:szCs w:val="22"/>
        </w:rPr>
      </w:pPr>
    </w:p>
    <w:p w:rsidR="003624C1" w:rsidRPr="00501C8E" w:rsidRDefault="003624C1" w:rsidP="00F21659">
      <w:pPr>
        <w:tabs>
          <w:tab w:val="left" w:pos="720"/>
        </w:tabs>
        <w:ind w:left="720" w:hanging="720"/>
        <w:rPr>
          <w:rFonts w:ascii="Arial" w:hAnsi="Arial" w:cs="Arial"/>
          <w:sz w:val="22"/>
          <w:szCs w:val="22"/>
        </w:rPr>
      </w:pPr>
      <w:r w:rsidRPr="00501C8E">
        <w:rPr>
          <w:rFonts w:ascii="Arial" w:hAnsi="Arial" w:cs="Arial"/>
          <w:sz w:val="22"/>
          <w:szCs w:val="22"/>
        </w:rPr>
        <w:t>2.</w:t>
      </w:r>
      <w:r w:rsidR="005645C6" w:rsidRPr="00501C8E">
        <w:rPr>
          <w:rFonts w:ascii="Arial" w:hAnsi="Arial" w:cs="Arial"/>
          <w:sz w:val="22"/>
          <w:szCs w:val="22"/>
        </w:rPr>
        <w:t>15</w:t>
      </w:r>
      <w:r w:rsidRPr="00501C8E">
        <w:rPr>
          <w:rFonts w:ascii="Arial" w:hAnsi="Arial" w:cs="Arial"/>
          <w:sz w:val="22"/>
          <w:szCs w:val="22"/>
        </w:rPr>
        <w:tab/>
        <w:t>In</w:t>
      </w:r>
      <w:r w:rsidR="00E616A1" w:rsidRPr="00501C8E">
        <w:rPr>
          <w:rFonts w:ascii="Arial" w:hAnsi="Arial" w:cs="Arial"/>
          <w:sz w:val="22"/>
          <w:szCs w:val="22"/>
        </w:rPr>
        <w:t xml:space="preserve"> addition to the above measures, in</w:t>
      </w:r>
      <w:r w:rsidRPr="00501C8E">
        <w:rPr>
          <w:rFonts w:ascii="Arial" w:hAnsi="Arial" w:cs="Arial"/>
          <w:sz w:val="22"/>
          <w:szCs w:val="22"/>
        </w:rPr>
        <w:t xml:space="preserve"> order to reduce the size of the current overspend before the end of the year, the Corporate Leadership Team are actively:</w:t>
      </w:r>
    </w:p>
    <w:p w:rsidR="003624C1" w:rsidRPr="00501C8E" w:rsidRDefault="003624C1" w:rsidP="00F21659">
      <w:pPr>
        <w:tabs>
          <w:tab w:val="left" w:pos="720"/>
        </w:tabs>
        <w:ind w:left="720" w:hanging="720"/>
        <w:rPr>
          <w:rFonts w:ascii="Arial" w:hAnsi="Arial" w:cs="Arial"/>
          <w:sz w:val="22"/>
          <w:szCs w:val="22"/>
        </w:rPr>
      </w:pPr>
    </w:p>
    <w:p w:rsidR="003624C1" w:rsidRPr="00501C8E" w:rsidRDefault="003624C1" w:rsidP="003624C1">
      <w:pPr>
        <w:pStyle w:val="ListParagraph"/>
        <w:numPr>
          <w:ilvl w:val="0"/>
          <w:numId w:val="48"/>
        </w:numPr>
        <w:tabs>
          <w:tab w:val="left" w:pos="720"/>
        </w:tabs>
        <w:rPr>
          <w:rFonts w:ascii="Arial" w:hAnsi="Arial" w:cs="Arial"/>
          <w:sz w:val="22"/>
          <w:szCs w:val="22"/>
        </w:rPr>
      </w:pPr>
      <w:r w:rsidRPr="00501C8E">
        <w:rPr>
          <w:rFonts w:ascii="Arial" w:hAnsi="Arial" w:cs="Arial"/>
          <w:sz w:val="22"/>
          <w:szCs w:val="22"/>
        </w:rPr>
        <w:t>Monitoring and reviewing all areas of income generation</w:t>
      </w:r>
      <w:r w:rsidR="00591376" w:rsidRPr="00501C8E">
        <w:rPr>
          <w:rFonts w:ascii="Arial" w:hAnsi="Arial" w:cs="Arial"/>
          <w:sz w:val="22"/>
          <w:szCs w:val="22"/>
        </w:rPr>
        <w:t xml:space="preserve"> and actively seeking out new  income generating opportunities</w:t>
      </w:r>
    </w:p>
    <w:p w:rsidR="003624C1" w:rsidRPr="00501C8E" w:rsidRDefault="00591376" w:rsidP="003624C1">
      <w:pPr>
        <w:pStyle w:val="ListParagraph"/>
        <w:numPr>
          <w:ilvl w:val="0"/>
          <w:numId w:val="48"/>
        </w:numPr>
        <w:tabs>
          <w:tab w:val="left" w:pos="720"/>
        </w:tabs>
        <w:rPr>
          <w:rFonts w:ascii="Arial" w:hAnsi="Arial" w:cs="Arial"/>
          <w:sz w:val="22"/>
          <w:szCs w:val="22"/>
        </w:rPr>
      </w:pPr>
      <w:r w:rsidRPr="00501C8E">
        <w:rPr>
          <w:rFonts w:ascii="Arial" w:hAnsi="Arial" w:cs="Arial"/>
          <w:sz w:val="22"/>
          <w:szCs w:val="22"/>
        </w:rPr>
        <w:t>Only agreeing additional costs on an “invest to save” or “invest to generate more income” basis</w:t>
      </w:r>
    </w:p>
    <w:p w:rsidR="00591376" w:rsidRPr="00501C8E" w:rsidRDefault="00591376" w:rsidP="003624C1">
      <w:pPr>
        <w:pStyle w:val="ListParagraph"/>
        <w:numPr>
          <w:ilvl w:val="0"/>
          <w:numId w:val="48"/>
        </w:numPr>
        <w:tabs>
          <w:tab w:val="left" w:pos="720"/>
        </w:tabs>
        <w:rPr>
          <w:rFonts w:ascii="Arial" w:hAnsi="Arial" w:cs="Arial"/>
          <w:sz w:val="22"/>
          <w:szCs w:val="22"/>
        </w:rPr>
      </w:pPr>
      <w:r w:rsidRPr="00501C8E">
        <w:rPr>
          <w:rFonts w:ascii="Arial" w:hAnsi="Arial" w:cs="Arial"/>
          <w:sz w:val="22"/>
          <w:szCs w:val="22"/>
        </w:rPr>
        <w:t>Curtailing expenditure wherever possible and reviewing all expenditure budgets with middle managers</w:t>
      </w:r>
    </w:p>
    <w:p w:rsidR="003624C1" w:rsidRPr="00501C8E" w:rsidRDefault="003624C1" w:rsidP="003624C1">
      <w:pPr>
        <w:pStyle w:val="ListParagraph"/>
        <w:numPr>
          <w:ilvl w:val="0"/>
          <w:numId w:val="48"/>
        </w:numPr>
        <w:tabs>
          <w:tab w:val="left" w:pos="720"/>
        </w:tabs>
        <w:rPr>
          <w:rFonts w:ascii="Arial" w:hAnsi="Arial" w:cs="Arial"/>
          <w:sz w:val="22"/>
          <w:szCs w:val="22"/>
        </w:rPr>
      </w:pPr>
      <w:r w:rsidRPr="00501C8E">
        <w:rPr>
          <w:rFonts w:ascii="Arial" w:hAnsi="Arial" w:cs="Arial"/>
          <w:sz w:val="22"/>
          <w:szCs w:val="22"/>
        </w:rPr>
        <w:t>Considering a recruitment freeze until the end of the financial year</w:t>
      </w:r>
    </w:p>
    <w:p w:rsidR="00854DE7" w:rsidRPr="00501C8E" w:rsidRDefault="00591376" w:rsidP="003624C1">
      <w:pPr>
        <w:pStyle w:val="ListParagraph"/>
        <w:numPr>
          <w:ilvl w:val="0"/>
          <w:numId w:val="48"/>
        </w:numPr>
        <w:tabs>
          <w:tab w:val="left" w:pos="720"/>
        </w:tabs>
        <w:rPr>
          <w:rFonts w:ascii="Arial" w:hAnsi="Arial" w:cs="Arial"/>
          <w:sz w:val="22"/>
          <w:szCs w:val="22"/>
        </w:rPr>
      </w:pPr>
      <w:r w:rsidRPr="00501C8E">
        <w:rPr>
          <w:rFonts w:ascii="Arial" w:hAnsi="Arial" w:cs="Arial"/>
          <w:sz w:val="22"/>
          <w:szCs w:val="22"/>
        </w:rPr>
        <w:t xml:space="preserve">Preparing a series of service reviews which will be reported back to the appropriate </w:t>
      </w:r>
      <w:r w:rsidR="002F068E">
        <w:rPr>
          <w:rFonts w:ascii="Arial" w:hAnsi="Arial" w:cs="Arial"/>
          <w:sz w:val="22"/>
          <w:szCs w:val="22"/>
        </w:rPr>
        <w:t>C</w:t>
      </w:r>
      <w:r w:rsidRPr="00501C8E">
        <w:rPr>
          <w:rFonts w:ascii="Arial" w:hAnsi="Arial" w:cs="Arial"/>
          <w:sz w:val="22"/>
          <w:szCs w:val="22"/>
        </w:rPr>
        <w:t xml:space="preserve">ouncil </w:t>
      </w:r>
      <w:r w:rsidR="002F068E">
        <w:rPr>
          <w:rFonts w:ascii="Arial" w:hAnsi="Arial" w:cs="Arial"/>
          <w:sz w:val="22"/>
          <w:szCs w:val="22"/>
        </w:rPr>
        <w:t>C</w:t>
      </w:r>
      <w:r w:rsidRPr="00501C8E">
        <w:rPr>
          <w:rFonts w:ascii="Arial" w:hAnsi="Arial" w:cs="Arial"/>
          <w:sz w:val="22"/>
          <w:szCs w:val="22"/>
        </w:rPr>
        <w:t>ommittee</w:t>
      </w:r>
      <w:r w:rsidR="003624C1" w:rsidRPr="00501C8E">
        <w:rPr>
          <w:rFonts w:ascii="Arial" w:hAnsi="Arial" w:cs="Arial"/>
          <w:sz w:val="22"/>
          <w:szCs w:val="22"/>
        </w:rPr>
        <w:t xml:space="preserve">  </w:t>
      </w:r>
      <w:r w:rsidR="00854DE7" w:rsidRPr="00501C8E">
        <w:rPr>
          <w:rFonts w:ascii="Arial" w:hAnsi="Arial" w:cs="Arial"/>
          <w:sz w:val="22"/>
          <w:szCs w:val="22"/>
        </w:rPr>
        <w:t xml:space="preserve"> </w:t>
      </w:r>
    </w:p>
    <w:p w:rsidR="00D06BE6" w:rsidRPr="00501C8E" w:rsidRDefault="00591376" w:rsidP="00E616A1">
      <w:pPr>
        <w:tabs>
          <w:tab w:val="left" w:pos="720"/>
        </w:tabs>
        <w:rPr>
          <w:rFonts w:ascii="Arial" w:hAnsi="Arial" w:cs="Arial"/>
          <w:sz w:val="22"/>
          <w:szCs w:val="22"/>
        </w:rPr>
      </w:pPr>
      <w:r w:rsidRPr="00501C8E">
        <w:rPr>
          <w:rFonts w:ascii="Arial" w:hAnsi="Arial" w:cs="Arial"/>
          <w:sz w:val="22"/>
          <w:szCs w:val="22"/>
        </w:rPr>
        <w:tab/>
        <w:t xml:space="preserve"> </w:t>
      </w:r>
    </w:p>
    <w:p w:rsidR="00CC58D1" w:rsidRPr="00501C8E" w:rsidRDefault="00FE0420" w:rsidP="00F21659">
      <w:pPr>
        <w:tabs>
          <w:tab w:val="left" w:pos="720"/>
        </w:tabs>
        <w:ind w:left="720" w:hanging="720"/>
        <w:rPr>
          <w:rFonts w:ascii="Arial" w:hAnsi="Arial" w:cs="Arial"/>
          <w:sz w:val="22"/>
          <w:szCs w:val="22"/>
          <w:u w:val="single"/>
        </w:rPr>
      </w:pPr>
      <w:r w:rsidRPr="00501C8E">
        <w:rPr>
          <w:rFonts w:ascii="Arial" w:hAnsi="Arial" w:cs="Arial"/>
          <w:sz w:val="22"/>
          <w:szCs w:val="22"/>
        </w:rPr>
        <w:tab/>
      </w:r>
      <w:r w:rsidRPr="00501C8E">
        <w:rPr>
          <w:rFonts w:ascii="Arial" w:hAnsi="Arial" w:cs="Arial"/>
          <w:sz w:val="22"/>
          <w:szCs w:val="22"/>
          <w:u w:val="single"/>
        </w:rPr>
        <w:t>Treasury and Financing</w:t>
      </w:r>
    </w:p>
    <w:p w:rsidR="00FE0420" w:rsidRPr="00501C8E" w:rsidRDefault="00FE0420" w:rsidP="00F21659">
      <w:pPr>
        <w:tabs>
          <w:tab w:val="left" w:pos="720"/>
        </w:tabs>
        <w:ind w:left="720" w:hanging="720"/>
        <w:rPr>
          <w:rFonts w:ascii="Arial" w:hAnsi="Arial" w:cs="Arial"/>
          <w:sz w:val="22"/>
          <w:szCs w:val="22"/>
          <w:u w:val="single"/>
        </w:rPr>
      </w:pPr>
    </w:p>
    <w:p w:rsidR="00FE0420" w:rsidRPr="00501C8E" w:rsidRDefault="00FE0420" w:rsidP="00A02E88">
      <w:pPr>
        <w:tabs>
          <w:tab w:val="left" w:pos="720"/>
        </w:tabs>
        <w:ind w:left="720" w:hanging="720"/>
        <w:rPr>
          <w:rFonts w:ascii="Arial" w:hAnsi="Arial" w:cs="Arial"/>
          <w:sz w:val="22"/>
          <w:szCs w:val="22"/>
        </w:rPr>
      </w:pPr>
      <w:r w:rsidRPr="00501C8E">
        <w:rPr>
          <w:rFonts w:ascii="Arial" w:hAnsi="Arial" w:cs="Arial"/>
          <w:sz w:val="22"/>
          <w:szCs w:val="22"/>
        </w:rPr>
        <w:t>2.</w:t>
      </w:r>
      <w:r w:rsidR="00FF1A4F" w:rsidRPr="00501C8E">
        <w:rPr>
          <w:rFonts w:ascii="Arial" w:hAnsi="Arial" w:cs="Arial"/>
          <w:sz w:val="22"/>
          <w:szCs w:val="22"/>
        </w:rPr>
        <w:t>1</w:t>
      </w:r>
      <w:r w:rsidR="005645C6" w:rsidRPr="00501C8E">
        <w:rPr>
          <w:rFonts w:ascii="Arial" w:hAnsi="Arial" w:cs="Arial"/>
          <w:sz w:val="22"/>
          <w:szCs w:val="22"/>
        </w:rPr>
        <w:t>6</w:t>
      </w:r>
      <w:r w:rsidRPr="00501C8E">
        <w:rPr>
          <w:rFonts w:ascii="Arial" w:hAnsi="Arial" w:cs="Arial"/>
          <w:sz w:val="22"/>
          <w:szCs w:val="22"/>
        </w:rPr>
        <w:tab/>
      </w:r>
      <w:r w:rsidR="00A02E88" w:rsidRPr="00501C8E">
        <w:rPr>
          <w:rFonts w:ascii="Arial" w:hAnsi="Arial" w:cs="Arial"/>
          <w:sz w:val="22"/>
          <w:szCs w:val="22"/>
        </w:rPr>
        <w:t>T</w:t>
      </w:r>
      <w:r w:rsidR="007F710C" w:rsidRPr="00501C8E">
        <w:rPr>
          <w:rFonts w:ascii="Arial" w:hAnsi="Arial" w:cs="Arial"/>
          <w:sz w:val="22"/>
          <w:szCs w:val="22"/>
        </w:rPr>
        <w:t xml:space="preserve">he 2016/17 Treasury Management Strategy report </w:t>
      </w:r>
      <w:r w:rsidR="00A02E88" w:rsidRPr="00501C8E">
        <w:rPr>
          <w:rFonts w:ascii="Arial" w:hAnsi="Arial" w:cs="Arial"/>
          <w:sz w:val="22"/>
          <w:szCs w:val="22"/>
        </w:rPr>
        <w:t xml:space="preserve">was </w:t>
      </w:r>
      <w:r w:rsidR="007F710C" w:rsidRPr="00501C8E">
        <w:rPr>
          <w:rFonts w:ascii="Arial" w:hAnsi="Arial" w:cs="Arial"/>
          <w:sz w:val="22"/>
          <w:szCs w:val="22"/>
        </w:rPr>
        <w:t xml:space="preserve">presented to this </w:t>
      </w:r>
      <w:r w:rsidR="00455FD7">
        <w:rPr>
          <w:rFonts w:ascii="Arial" w:hAnsi="Arial" w:cs="Arial"/>
          <w:sz w:val="22"/>
          <w:szCs w:val="22"/>
        </w:rPr>
        <w:t>C</w:t>
      </w:r>
      <w:r w:rsidR="007F710C" w:rsidRPr="00501C8E">
        <w:rPr>
          <w:rFonts w:ascii="Arial" w:hAnsi="Arial" w:cs="Arial"/>
          <w:sz w:val="22"/>
          <w:szCs w:val="22"/>
        </w:rPr>
        <w:t xml:space="preserve">ommittee </w:t>
      </w:r>
      <w:r w:rsidR="00A02E88" w:rsidRPr="00501C8E">
        <w:rPr>
          <w:rFonts w:ascii="Arial" w:hAnsi="Arial" w:cs="Arial"/>
          <w:sz w:val="22"/>
          <w:szCs w:val="22"/>
        </w:rPr>
        <w:t>at the end of February 2</w:t>
      </w:r>
      <w:r w:rsidR="007F710C" w:rsidRPr="00501C8E">
        <w:rPr>
          <w:rFonts w:ascii="Arial" w:hAnsi="Arial" w:cs="Arial"/>
          <w:sz w:val="22"/>
          <w:szCs w:val="22"/>
        </w:rPr>
        <w:t>016</w:t>
      </w:r>
      <w:r w:rsidR="00A02E88" w:rsidRPr="00501C8E">
        <w:rPr>
          <w:rFonts w:ascii="Arial" w:hAnsi="Arial" w:cs="Arial"/>
          <w:sz w:val="22"/>
          <w:szCs w:val="22"/>
        </w:rPr>
        <w:t>, after the annual budget had been agreed by full Council.</w:t>
      </w:r>
      <w:r w:rsidR="007F710C" w:rsidRPr="00501C8E">
        <w:rPr>
          <w:rFonts w:ascii="Arial" w:hAnsi="Arial" w:cs="Arial"/>
          <w:sz w:val="22"/>
          <w:szCs w:val="22"/>
        </w:rPr>
        <w:t xml:space="preserve">  </w:t>
      </w:r>
      <w:r w:rsidR="00A02E88" w:rsidRPr="00501C8E">
        <w:rPr>
          <w:rFonts w:ascii="Arial" w:hAnsi="Arial" w:cs="Arial"/>
          <w:sz w:val="22"/>
          <w:szCs w:val="22"/>
        </w:rPr>
        <w:t>In this report it was noted that t</w:t>
      </w:r>
      <w:r w:rsidR="007F710C" w:rsidRPr="00501C8E">
        <w:rPr>
          <w:rFonts w:ascii="Arial" w:hAnsi="Arial" w:cs="Arial"/>
          <w:sz w:val="22"/>
          <w:szCs w:val="22"/>
        </w:rPr>
        <w:t>he estimate for</w:t>
      </w:r>
      <w:r w:rsidR="00A02E88" w:rsidRPr="00501C8E">
        <w:rPr>
          <w:rFonts w:ascii="Arial" w:hAnsi="Arial" w:cs="Arial"/>
          <w:sz w:val="22"/>
          <w:szCs w:val="22"/>
        </w:rPr>
        <w:t xml:space="preserve"> returns on </w:t>
      </w:r>
      <w:r w:rsidR="007F710C" w:rsidRPr="00501C8E">
        <w:rPr>
          <w:rFonts w:ascii="Arial" w:hAnsi="Arial" w:cs="Arial"/>
          <w:sz w:val="22"/>
          <w:szCs w:val="22"/>
        </w:rPr>
        <w:t>investment</w:t>
      </w:r>
      <w:r w:rsidR="00A02E88" w:rsidRPr="00501C8E">
        <w:rPr>
          <w:rFonts w:ascii="Arial" w:hAnsi="Arial" w:cs="Arial"/>
          <w:sz w:val="22"/>
          <w:szCs w:val="22"/>
        </w:rPr>
        <w:t>s</w:t>
      </w:r>
      <w:r w:rsidR="007F710C" w:rsidRPr="00501C8E">
        <w:rPr>
          <w:rFonts w:ascii="Arial" w:hAnsi="Arial" w:cs="Arial"/>
          <w:sz w:val="22"/>
          <w:szCs w:val="22"/>
        </w:rPr>
        <w:t xml:space="preserve"> </w:t>
      </w:r>
      <w:r w:rsidR="00A02E88" w:rsidRPr="00501C8E">
        <w:rPr>
          <w:rFonts w:ascii="Arial" w:hAnsi="Arial" w:cs="Arial"/>
          <w:sz w:val="22"/>
          <w:szCs w:val="22"/>
        </w:rPr>
        <w:t>had</w:t>
      </w:r>
      <w:r w:rsidR="007F710C" w:rsidRPr="00501C8E">
        <w:rPr>
          <w:rFonts w:ascii="Arial" w:hAnsi="Arial" w:cs="Arial"/>
          <w:sz w:val="22"/>
          <w:szCs w:val="22"/>
        </w:rPr>
        <w:t xml:space="preserve"> </w:t>
      </w:r>
      <w:r w:rsidR="00A73350" w:rsidRPr="00501C8E">
        <w:rPr>
          <w:rFonts w:ascii="Arial" w:hAnsi="Arial" w:cs="Arial"/>
          <w:sz w:val="22"/>
          <w:szCs w:val="22"/>
        </w:rPr>
        <w:t xml:space="preserve">been </w:t>
      </w:r>
      <w:r w:rsidR="007F710C" w:rsidRPr="00501C8E">
        <w:rPr>
          <w:rFonts w:ascii="Arial" w:hAnsi="Arial" w:cs="Arial"/>
          <w:sz w:val="22"/>
          <w:szCs w:val="22"/>
        </w:rPr>
        <w:t>reduced from 0.9%</w:t>
      </w:r>
      <w:r w:rsidR="00A02E88" w:rsidRPr="00501C8E">
        <w:rPr>
          <w:rFonts w:ascii="Arial" w:hAnsi="Arial" w:cs="Arial"/>
          <w:sz w:val="22"/>
          <w:szCs w:val="22"/>
        </w:rPr>
        <w:t xml:space="preserve"> to 0.6% </w:t>
      </w:r>
      <w:r w:rsidR="007F710C" w:rsidRPr="00501C8E">
        <w:rPr>
          <w:rFonts w:ascii="Arial" w:hAnsi="Arial" w:cs="Arial"/>
          <w:sz w:val="22"/>
          <w:szCs w:val="22"/>
        </w:rPr>
        <w:t xml:space="preserve">following revised forecasts and advice after turmoil in the financial markets at the end of January.  </w:t>
      </w:r>
      <w:r w:rsidR="00203A50" w:rsidRPr="00501C8E">
        <w:rPr>
          <w:rFonts w:ascii="Arial" w:hAnsi="Arial" w:cs="Arial"/>
          <w:sz w:val="22"/>
          <w:szCs w:val="22"/>
        </w:rPr>
        <w:t xml:space="preserve">Unfortunately following the EU Referendum, base rate </w:t>
      </w:r>
      <w:r w:rsidR="00FA37FE" w:rsidRPr="00501C8E">
        <w:rPr>
          <w:rFonts w:ascii="Arial" w:hAnsi="Arial" w:cs="Arial"/>
          <w:sz w:val="22"/>
          <w:szCs w:val="22"/>
        </w:rPr>
        <w:t>fell</w:t>
      </w:r>
      <w:r w:rsidR="00203A50" w:rsidRPr="00501C8E">
        <w:rPr>
          <w:rFonts w:ascii="Arial" w:hAnsi="Arial" w:cs="Arial"/>
          <w:sz w:val="22"/>
          <w:szCs w:val="22"/>
        </w:rPr>
        <w:t xml:space="preserve"> to 0.25% </w:t>
      </w:r>
      <w:r w:rsidR="00FA37FE" w:rsidRPr="00501C8E">
        <w:rPr>
          <w:rFonts w:ascii="Arial" w:hAnsi="Arial" w:cs="Arial"/>
          <w:sz w:val="22"/>
          <w:szCs w:val="22"/>
        </w:rPr>
        <w:t>and is anticipated to reduce further in the coming months.  T</w:t>
      </w:r>
      <w:r w:rsidR="00203A50" w:rsidRPr="00501C8E">
        <w:rPr>
          <w:rFonts w:ascii="Arial" w:hAnsi="Arial" w:cs="Arial"/>
          <w:sz w:val="22"/>
          <w:szCs w:val="22"/>
        </w:rPr>
        <w:t xml:space="preserve">he Council’s treasury management advisors </w:t>
      </w:r>
      <w:r w:rsidR="00FA37FE" w:rsidRPr="00501C8E">
        <w:rPr>
          <w:rFonts w:ascii="Arial" w:hAnsi="Arial" w:cs="Arial"/>
          <w:sz w:val="22"/>
          <w:szCs w:val="22"/>
        </w:rPr>
        <w:t xml:space="preserve">have said </w:t>
      </w:r>
      <w:r w:rsidR="00203A50" w:rsidRPr="00501C8E">
        <w:rPr>
          <w:rFonts w:ascii="Arial" w:hAnsi="Arial" w:cs="Arial"/>
          <w:sz w:val="22"/>
          <w:szCs w:val="22"/>
        </w:rPr>
        <w:t xml:space="preserve">we should </w:t>
      </w:r>
      <w:r w:rsidR="00FA37FE" w:rsidRPr="00501C8E">
        <w:rPr>
          <w:rFonts w:ascii="Arial" w:hAnsi="Arial" w:cs="Arial"/>
          <w:sz w:val="22"/>
          <w:szCs w:val="22"/>
        </w:rPr>
        <w:t xml:space="preserve">now </w:t>
      </w:r>
      <w:r w:rsidR="00203A50" w:rsidRPr="00501C8E">
        <w:rPr>
          <w:rFonts w:ascii="Arial" w:hAnsi="Arial" w:cs="Arial"/>
          <w:sz w:val="22"/>
          <w:szCs w:val="22"/>
        </w:rPr>
        <w:t xml:space="preserve">plan for </w:t>
      </w:r>
      <w:r w:rsidR="00822016" w:rsidRPr="00501C8E">
        <w:rPr>
          <w:rFonts w:ascii="Arial" w:hAnsi="Arial" w:cs="Arial"/>
          <w:sz w:val="22"/>
          <w:szCs w:val="22"/>
        </w:rPr>
        <w:t xml:space="preserve">investment income of </w:t>
      </w:r>
      <w:r w:rsidR="00203A50" w:rsidRPr="00501C8E">
        <w:rPr>
          <w:rFonts w:ascii="Arial" w:hAnsi="Arial" w:cs="Arial"/>
          <w:sz w:val="22"/>
          <w:szCs w:val="22"/>
        </w:rPr>
        <w:t>no more than 0.25%</w:t>
      </w:r>
      <w:r w:rsidR="00822016" w:rsidRPr="00501C8E">
        <w:rPr>
          <w:rFonts w:ascii="Arial" w:hAnsi="Arial" w:cs="Arial"/>
          <w:sz w:val="22"/>
          <w:szCs w:val="22"/>
        </w:rPr>
        <w:t xml:space="preserve"> </w:t>
      </w:r>
      <w:r w:rsidR="00FA37FE" w:rsidRPr="00501C8E">
        <w:rPr>
          <w:rFonts w:ascii="Arial" w:hAnsi="Arial" w:cs="Arial"/>
          <w:sz w:val="22"/>
          <w:szCs w:val="22"/>
        </w:rPr>
        <w:t>in the current year.</w:t>
      </w:r>
    </w:p>
    <w:p w:rsidR="00A02E88" w:rsidRPr="00501C8E" w:rsidRDefault="00A02E88" w:rsidP="00A02E88">
      <w:pPr>
        <w:tabs>
          <w:tab w:val="left" w:pos="720"/>
        </w:tabs>
        <w:ind w:left="720" w:hanging="720"/>
        <w:rPr>
          <w:rFonts w:ascii="Arial" w:hAnsi="Arial" w:cs="Arial"/>
          <w:sz w:val="22"/>
          <w:szCs w:val="22"/>
        </w:rPr>
      </w:pPr>
    </w:p>
    <w:p w:rsidR="00A02E88" w:rsidRPr="00501C8E" w:rsidRDefault="00A02E88" w:rsidP="005645C6">
      <w:pPr>
        <w:pStyle w:val="ListParagraph"/>
        <w:numPr>
          <w:ilvl w:val="1"/>
          <w:numId w:val="50"/>
        </w:numPr>
        <w:ind w:left="709" w:hanging="709"/>
        <w:rPr>
          <w:rFonts w:ascii="Arial" w:hAnsi="Arial" w:cs="Arial"/>
          <w:sz w:val="22"/>
          <w:szCs w:val="22"/>
        </w:rPr>
      </w:pPr>
      <w:r w:rsidRPr="00501C8E">
        <w:rPr>
          <w:rFonts w:ascii="Arial" w:hAnsi="Arial" w:cs="Arial"/>
          <w:sz w:val="22"/>
          <w:szCs w:val="22"/>
        </w:rPr>
        <w:t xml:space="preserve">During 2015/16 officers managed to delay much of the planned </w:t>
      </w:r>
      <w:r w:rsidR="00D20020" w:rsidRPr="00501C8E">
        <w:rPr>
          <w:rFonts w:ascii="Arial" w:hAnsi="Arial" w:cs="Arial"/>
          <w:sz w:val="22"/>
          <w:szCs w:val="22"/>
        </w:rPr>
        <w:t xml:space="preserve">external </w:t>
      </w:r>
      <w:r w:rsidRPr="00501C8E">
        <w:rPr>
          <w:rFonts w:ascii="Arial" w:hAnsi="Arial" w:cs="Arial"/>
          <w:sz w:val="22"/>
          <w:szCs w:val="22"/>
        </w:rPr>
        <w:t xml:space="preserve">borrowing by utilising positive cashflows (creditors, </w:t>
      </w:r>
      <w:r w:rsidR="00D20020" w:rsidRPr="00501C8E">
        <w:rPr>
          <w:rFonts w:ascii="Arial" w:hAnsi="Arial" w:cs="Arial"/>
          <w:sz w:val="22"/>
          <w:szCs w:val="22"/>
        </w:rPr>
        <w:t>receipts in advance</w:t>
      </w:r>
      <w:r w:rsidRPr="00501C8E">
        <w:rPr>
          <w:rFonts w:ascii="Arial" w:hAnsi="Arial" w:cs="Arial"/>
          <w:sz w:val="22"/>
          <w:szCs w:val="22"/>
        </w:rPr>
        <w:t xml:space="preserve"> etc)</w:t>
      </w:r>
      <w:r w:rsidR="00D20020" w:rsidRPr="00501C8E">
        <w:rPr>
          <w:rFonts w:ascii="Arial" w:hAnsi="Arial" w:cs="Arial"/>
          <w:sz w:val="22"/>
          <w:szCs w:val="22"/>
        </w:rPr>
        <w:t xml:space="preserve"> and borrowing internally (collection fund balances etc).  This has meant that the level of money available for future investment has reduced significantly</w:t>
      </w:r>
      <w:r w:rsidR="00A73350" w:rsidRPr="00501C8E">
        <w:rPr>
          <w:rFonts w:ascii="Arial" w:hAnsi="Arial" w:cs="Arial"/>
          <w:sz w:val="22"/>
          <w:szCs w:val="22"/>
        </w:rPr>
        <w:t xml:space="preserve"> as surplus cash has been used to finance capital projects in the short term</w:t>
      </w:r>
      <w:r w:rsidR="00D20020" w:rsidRPr="00501C8E">
        <w:rPr>
          <w:rFonts w:ascii="Arial" w:hAnsi="Arial" w:cs="Arial"/>
          <w:sz w:val="22"/>
          <w:szCs w:val="22"/>
        </w:rPr>
        <w:t xml:space="preserve">.  </w:t>
      </w:r>
      <w:r w:rsidR="00A73350" w:rsidRPr="00501C8E">
        <w:rPr>
          <w:rFonts w:ascii="Arial" w:hAnsi="Arial" w:cs="Arial"/>
          <w:sz w:val="22"/>
          <w:szCs w:val="22"/>
        </w:rPr>
        <w:t>However, w</w:t>
      </w:r>
      <w:r w:rsidR="00D20020" w:rsidRPr="00501C8E">
        <w:rPr>
          <w:rFonts w:ascii="Arial" w:hAnsi="Arial" w:cs="Arial"/>
          <w:sz w:val="22"/>
          <w:szCs w:val="22"/>
        </w:rPr>
        <w:t xml:space="preserve">hilst this will further reduce the level of investment income to the Council, this should be offset by lower borrowing costs.  </w:t>
      </w:r>
    </w:p>
    <w:p w:rsidR="00D20020" w:rsidRPr="00501C8E" w:rsidRDefault="00D20020" w:rsidP="00D20020">
      <w:pPr>
        <w:tabs>
          <w:tab w:val="left" w:pos="720"/>
        </w:tabs>
        <w:rPr>
          <w:rFonts w:ascii="Arial" w:hAnsi="Arial" w:cs="Arial"/>
          <w:sz w:val="22"/>
          <w:szCs w:val="22"/>
        </w:rPr>
      </w:pPr>
    </w:p>
    <w:p w:rsidR="00D20020" w:rsidRPr="00501C8E" w:rsidRDefault="00FF1A4F" w:rsidP="00D20020">
      <w:pPr>
        <w:tabs>
          <w:tab w:val="left" w:pos="720"/>
        </w:tabs>
        <w:ind w:left="709" w:hanging="709"/>
        <w:rPr>
          <w:rFonts w:ascii="Arial" w:hAnsi="Arial" w:cs="Arial"/>
          <w:sz w:val="22"/>
          <w:szCs w:val="22"/>
        </w:rPr>
      </w:pPr>
      <w:r w:rsidRPr="00501C8E">
        <w:rPr>
          <w:rFonts w:ascii="Arial" w:hAnsi="Arial" w:cs="Arial"/>
          <w:sz w:val="22"/>
          <w:szCs w:val="22"/>
        </w:rPr>
        <w:t>2.</w:t>
      </w:r>
      <w:r w:rsidR="005645C6" w:rsidRPr="00501C8E">
        <w:rPr>
          <w:rFonts w:ascii="Arial" w:hAnsi="Arial" w:cs="Arial"/>
          <w:sz w:val="22"/>
          <w:szCs w:val="22"/>
        </w:rPr>
        <w:t>18</w:t>
      </w:r>
      <w:r w:rsidR="00D20020" w:rsidRPr="00501C8E">
        <w:rPr>
          <w:rFonts w:ascii="Arial" w:hAnsi="Arial" w:cs="Arial"/>
          <w:sz w:val="22"/>
          <w:szCs w:val="22"/>
        </w:rPr>
        <w:tab/>
        <w:t xml:space="preserve">A full report on all treasury activity during the first six months of the year </w:t>
      </w:r>
      <w:r w:rsidR="006F797F" w:rsidRPr="00501C8E">
        <w:rPr>
          <w:rFonts w:ascii="Arial" w:hAnsi="Arial" w:cs="Arial"/>
          <w:sz w:val="22"/>
          <w:szCs w:val="22"/>
        </w:rPr>
        <w:t>is set out elsewhere on this agenda</w:t>
      </w:r>
      <w:r w:rsidR="00D20020" w:rsidRPr="00501C8E">
        <w:rPr>
          <w:rFonts w:ascii="Arial" w:hAnsi="Arial" w:cs="Arial"/>
          <w:sz w:val="22"/>
          <w:szCs w:val="22"/>
        </w:rPr>
        <w:t>.</w:t>
      </w:r>
      <w:r w:rsidR="00A8524C" w:rsidRPr="00501C8E">
        <w:rPr>
          <w:rFonts w:ascii="Arial" w:hAnsi="Arial" w:cs="Arial"/>
          <w:sz w:val="22"/>
          <w:szCs w:val="22"/>
        </w:rPr>
        <w:t xml:space="preserve"> Significant r</w:t>
      </w:r>
      <w:r w:rsidR="004431BC" w:rsidRPr="00501C8E">
        <w:rPr>
          <w:rFonts w:ascii="Arial" w:hAnsi="Arial" w:cs="Arial"/>
          <w:sz w:val="22"/>
          <w:szCs w:val="22"/>
        </w:rPr>
        <w:t>eductions in the G</w:t>
      </w:r>
      <w:r w:rsidR="00A8524C" w:rsidRPr="00501C8E">
        <w:rPr>
          <w:rFonts w:ascii="Arial" w:hAnsi="Arial" w:cs="Arial"/>
          <w:sz w:val="22"/>
          <w:szCs w:val="22"/>
        </w:rPr>
        <w:t>eneral Fund working balance will further reduce the investment income the Council enjoys.</w:t>
      </w:r>
    </w:p>
    <w:p w:rsidR="00A02E88" w:rsidRPr="00501C8E" w:rsidRDefault="00A02E88" w:rsidP="00A02E88">
      <w:pPr>
        <w:tabs>
          <w:tab w:val="left" w:pos="720"/>
        </w:tabs>
        <w:ind w:left="720" w:hanging="720"/>
        <w:rPr>
          <w:rFonts w:ascii="Arial" w:hAnsi="Arial" w:cs="Arial"/>
          <w:sz w:val="22"/>
          <w:szCs w:val="22"/>
        </w:rPr>
      </w:pPr>
    </w:p>
    <w:p w:rsidR="00787208" w:rsidRPr="00501C8E" w:rsidRDefault="00787208" w:rsidP="00A02E88">
      <w:pPr>
        <w:tabs>
          <w:tab w:val="left" w:pos="720"/>
        </w:tabs>
        <w:ind w:left="720" w:hanging="720"/>
        <w:rPr>
          <w:rFonts w:ascii="Arial" w:hAnsi="Arial" w:cs="Arial"/>
          <w:sz w:val="22"/>
          <w:szCs w:val="22"/>
          <w:u w:val="single"/>
        </w:rPr>
      </w:pPr>
      <w:r w:rsidRPr="00501C8E">
        <w:rPr>
          <w:rFonts w:ascii="Arial" w:hAnsi="Arial" w:cs="Arial"/>
          <w:sz w:val="22"/>
          <w:szCs w:val="22"/>
        </w:rPr>
        <w:tab/>
      </w:r>
      <w:r w:rsidRPr="00501C8E">
        <w:rPr>
          <w:rFonts w:ascii="Arial" w:hAnsi="Arial" w:cs="Arial"/>
          <w:sz w:val="22"/>
          <w:szCs w:val="22"/>
          <w:u w:val="single"/>
        </w:rPr>
        <w:t>Government Grants</w:t>
      </w:r>
    </w:p>
    <w:p w:rsidR="00787208" w:rsidRPr="00501C8E" w:rsidRDefault="00787208" w:rsidP="00A02E88">
      <w:pPr>
        <w:tabs>
          <w:tab w:val="left" w:pos="720"/>
        </w:tabs>
        <w:ind w:left="720" w:hanging="720"/>
        <w:rPr>
          <w:rFonts w:ascii="Arial" w:hAnsi="Arial" w:cs="Arial"/>
          <w:sz w:val="22"/>
          <w:szCs w:val="22"/>
        </w:rPr>
      </w:pPr>
    </w:p>
    <w:p w:rsidR="007F710C" w:rsidRPr="00501C8E" w:rsidRDefault="00787208" w:rsidP="00F21659">
      <w:pPr>
        <w:tabs>
          <w:tab w:val="left" w:pos="720"/>
        </w:tabs>
        <w:ind w:left="720" w:hanging="720"/>
        <w:rPr>
          <w:rFonts w:ascii="Arial" w:hAnsi="Arial" w:cs="Arial"/>
          <w:sz w:val="22"/>
          <w:szCs w:val="22"/>
        </w:rPr>
      </w:pPr>
      <w:r w:rsidRPr="00501C8E">
        <w:rPr>
          <w:rFonts w:ascii="Arial" w:hAnsi="Arial" w:cs="Arial"/>
          <w:sz w:val="22"/>
          <w:szCs w:val="22"/>
        </w:rPr>
        <w:t>2.</w:t>
      </w:r>
      <w:r w:rsidR="005645C6" w:rsidRPr="00501C8E">
        <w:rPr>
          <w:rFonts w:ascii="Arial" w:hAnsi="Arial" w:cs="Arial"/>
          <w:sz w:val="22"/>
          <w:szCs w:val="22"/>
        </w:rPr>
        <w:t>19</w:t>
      </w:r>
      <w:r w:rsidRPr="00501C8E">
        <w:rPr>
          <w:rFonts w:ascii="Arial" w:hAnsi="Arial" w:cs="Arial"/>
          <w:sz w:val="22"/>
          <w:szCs w:val="22"/>
        </w:rPr>
        <w:tab/>
        <w:t xml:space="preserve">Government Grants encompass the Revenue Support Grant, New Homes Bonus Grant and any other non-service specific grants that the </w:t>
      </w:r>
      <w:r w:rsidR="00455FD7">
        <w:rPr>
          <w:rFonts w:ascii="Arial" w:hAnsi="Arial" w:cs="Arial"/>
          <w:sz w:val="22"/>
          <w:szCs w:val="22"/>
        </w:rPr>
        <w:t>G</w:t>
      </w:r>
      <w:r w:rsidRPr="00501C8E">
        <w:rPr>
          <w:rFonts w:ascii="Arial" w:hAnsi="Arial" w:cs="Arial"/>
          <w:sz w:val="22"/>
          <w:szCs w:val="22"/>
        </w:rPr>
        <w:t>overnment release during the year.  At the current time there is no change to the original estimate for these grants</w:t>
      </w:r>
      <w:r w:rsidR="006800D2" w:rsidRPr="00501C8E">
        <w:rPr>
          <w:rFonts w:ascii="Arial" w:hAnsi="Arial" w:cs="Arial"/>
          <w:sz w:val="22"/>
          <w:szCs w:val="22"/>
        </w:rPr>
        <w:t xml:space="preserve"> other than a small increase in the New Homes Bonus</w:t>
      </w:r>
      <w:r w:rsidR="005645C6" w:rsidRPr="00501C8E">
        <w:rPr>
          <w:rFonts w:ascii="Arial" w:hAnsi="Arial" w:cs="Arial"/>
          <w:sz w:val="22"/>
          <w:szCs w:val="22"/>
        </w:rPr>
        <w:t xml:space="preserve"> in the current year for unused grant recycled to authorities</w:t>
      </w:r>
      <w:r w:rsidRPr="00501C8E">
        <w:rPr>
          <w:rFonts w:ascii="Arial" w:hAnsi="Arial" w:cs="Arial"/>
          <w:sz w:val="22"/>
          <w:szCs w:val="22"/>
        </w:rPr>
        <w:t>.</w:t>
      </w:r>
    </w:p>
    <w:p w:rsidR="00787208" w:rsidRDefault="00787208" w:rsidP="00F21659">
      <w:pPr>
        <w:tabs>
          <w:tab w:val="left" w:pos="720"/>
        </w:tabs>
        <w:ind w:left="720" w:hanging="720"/>
        <w:rPr>
          <w:rFonts w:ascii="Arial" w:hAnsi="Arial" w:cs="Arial"/>
          <w:sz w:val="22"/>
          <w:szCs w:val="22"/>
        </w:rPr>
      </w:pPr>
    </w:p>
    <w:p w:rsidR="00557E4B" w:rsidRPr="00501C8E" w:rsidRDefault="00557E4B" w:rsidP="00F21659">
      <w:pPr>
        <w:tabs>
          <w:tab w:val="left" w:pos="720"/>
        </w:tabs>
        <w:ind w:left="720" w:hanging="720"/>
        <w:rPr>
          <w:rFonts w:ascii="Arial" w:hAnsi="Arial" w:cs="Arial"/>
          <w:sz w:val="22"/>
          <w:szCs w:val="22"/>
          <w:u w:val="single"/>
        </w:rPr>
      </w:pPr>
      <w:r w:rsidRPr="00501C8E">
        <w:rPr>
          <w:rFonts w:ascii="Arial" w:hAnsi="Arial" w:cs="Arial"/>
          <w:sz w:val="22"/>
          <w:szCs w:val="22"/>
        </w:rPr>
        <w:tab/>
      </w:r>
      <w:r w:rsidRPr="00501C8E">
        <w:rPr>
          <w:rFonts w:ascii="Arial" w:hAnsi="Arial" w:cs="Arial"/>
          <w:sz w:val="22"/>
          <w:szCs w:val="22"/>
          <w:u w:val="single"/>
        </w:rPr>
        <w:t>Business Rates and Council Tax Collection</w:t>
      </w:r>
    </w:p>
    <w:p w:rsidR="00787208" w:rsidRPr="00501C8E" w:rsidRDefault="00787208" w:rsidP="00F21659">
      <w:pPr>
        <w:tabs>
          <w:tab w:val="left" w:pos="720"/>
        </w:tabs>
        <w:ind w:left="720" w:hanging="720"/>
        <w:rPr>
          <w:rFonts w:ascii="Arial" w:hAnsi="Arial" w:cs="Arial"/>
          <w:sz w:val="22"/>
          <w:szCs w:val="22"/>
          <w:u w:val="single"/>
        </w:rPr>
      </w:pPr>
    </w:p>
    <w:p w:rsidR="00557E4B" w:rsidRPr="00501C8E" w:rsidRDefault="00AB06DC" w:rsidP="00F21659">
      <w:pPr>
        <w:tabs>
          <w:tab w:val="left" w:pos="720"/>
        </w:tabs>
        <w:ind w:left="720" w:hanging="720"/>
        <w:rPr>
          <w:rFonts w:ascii="Arial" w:hAnsi="Arial" w:cs="Arial"/>
          <w:sz w:val="22"/>
          <w:szCs w:val="22"/>
        </w:rPr>
      </w:pPr>
      <w:r w:rsidRPr="00501C8E">
        <w:rPr>
          <w:rFonts w:ascii="Arial" w:hAnsi="Arial" w:cs="Arial"/>
          <w:sz w:val="22"/>
          <w:szCs w:val="22"/>
        </w:rPr>
        <w:t>2</w:t>
      </w:r>
      <w:r w:rsidR="00557E4B" w:rsidRPr="00501C8E">
        <w:rPr>
          <w:rFonts w:ascii="Arial" w:hAnsi="Arial" w:cs="Arial"/>
          <w:sz w:val="22"/>
          <w:szCs w:val="22"/>
        </w:rPr>
        <w:t>.</w:t>
      </w:r>
      <w:r w:rsidR="000E2C63" w:rsidRPr="00501C8E">
        <w:rPr>
          <w:rFonts w:ascii="Arial" w:hAnsi="Arial" w:cs="Arial"/>
          <w:sz w:val="22"/>
          <w:szCs w:val="22"/>
        </w:rPr>
        <w:t>20</w:t>
      </w:r>
      <w:r w:rsidR="00557E4B" w:rsidRPr="00501C8E">
        <w:rPr>
          <w:rFonts w:ascii="Arial" w:hAnsi="Arial" w:cs="Arial"/>
          <w:sz w:val="22"/>
          <w:szCs w:val="22"/>
        </w:rPr>
        <w:tab/>
        <w:t xml:space="preserve">A significant income stream for the Council is the income from taxation.  Collection rates for both business rates and council tax are monitored on a weekly basis by the Corporate Head of </w:t>
      </w:r>
      <w:r w:rsidR="00AD60DE" w:rsidRPr="00501C8E">
        <w:rPr>
          <w:rFonts w:ascii="Arial" w:hAnsi="Arial" w:cs="Arial"/>
          <w:sz w:val="22"/>
          <w:szCs w:val="22"/>
        </w:rPr>
        <w:t>Resources</w:t>
      </w:r>
      <w:r w:rsidR="00557E4B" w:rsidRPr="00501C8E">
        <w:rPr>
          <w:rFonts w:ascii="Arial" w:hAnsi="Arial" w:cs="Arial"/>
          <w:sz w:val="22"/>
          <w:szCs w:val="22"/>
        </w:rPr>
        <w:t>.  Collection rates for the period (</w:t>
      </w:r>
      <w:r w:rsidR="00AC49B7" w:rsidRPr="00501C8E">
        <w:rPr>
          <w:rFonts w:ascii="Arial" w:hAnsi="Arial" w:cs="Arial"/>
          <w:sz w:val="22"/>
          <w:szCs w:val="22"/>
        </w:rPr>
        <w:t>as at</w:t>
      </w:r>
      <w:r w:rsidR="00557E4B" w:rsidRPr="00501C8E">
        <w:rPr>
          <w:rFonts w:ascii="Arial" w:hAnsi="Arial" w:cs="Arial"/>
          <w:sz w:val="22"/>
          <w:szCs w:val="22"/>
        </w:rPr>
        <w:t xml:space="preserve"> </w:t>
      </w:r>
      <w:r w:rsidR="008D06FA" w:rsidRPr="00501C8E">
        <w:rPr>
          <w:rFonts w:ascii="Arial" w:hAnsi="Arial" w:cs="Arial"/>
          <w:sz w:val="22"/>
          <w:szCs w:val="22"/>
        </w:rPr>
        <w:t>3</w:t>
      </w:r>
      <w:r w:rsidR="00C06C6E" w:rsidRPr="00501C8E">
        <w:rPr>
          <w:rFonts w:ascii="Arial" w:hAnsi="Arial" w:cs="Arial"/>
          <w:sz w:val="22"/>
          <w:szCs w:val="22"/>
        </w:rPr>
        <w:t xml:space="preserve"> </w:t>
      </w:r>
      <w:r w:rsidR="008D06FA" w:rsidRPr="00501C8E">
        <w:rPr>
          <w:rFonts w:ascii="Arial" w:hAnsi="Arial" w:cs="Arial"/>
          <w:sz w:val="22"/>
          <w:szCs w:val="22"/>
        </w:rPr>
        <w:t>October</w:t>
      </w:r>
      <w:r w:rsidR="00557E4B" w:rsidRPr="00501C8E">
        <w:rPr>
          <w:rFonts w:ascii="Arial" w:hAnsi="Arial" w:cs="Arial"/>
          <w:sz w:val="22"/>
          <w:szCs w:val="22"/>
        </w:rPr>
        <w:t>) were as follows:</w:t>
      </w:r>
    </w:p>
    <w:p w:rsidR="00557E4B" w:rsidRPr="00501C8E" w:rsidRDefault="00557E4B" w:rsidP="00F21659">
      <w:pPr>
        <w:tabs>
          <w:tab w:val="left" w:pos="720"/>
        </w:tabs>
        <w:ind w:left="720" w:hanging="720"/>
        <w:rPr>
          <w:rFonts w:ascii="Arial" w:hAnsi="Arial" w:cs="Arial"/>
          <w:sz w:val="22"/>
          <w:szCs w:val="22"/>
        </w:rPr>
      </w:pPr>
    </w:p>
    <w:tbl>
      <w:tblPr>
        <w:tblStyle w:val="TableGrid"/>
        <w:tblW w:w="0" w:type="auto"/>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42"/>
        <w:gridCol w:w="1134"/>
        <w:gridCol w:w="1195"/>
      </w:tblGrid>
      <w:tr w:rsidR="00CF10DA" w:rsidRPr="00501C8E" w:rsidTr="00CF10DA">
        <w:tc>
          <w:tcPr>
            <w:tcW w:w="7610" w:type="dxa"/>
            <w:gridSpan w:val="3"/>
            <w:shd w:val="clear" w:color="auto" w:fill="BFBFBF" w:themeFill="background1" w:themeFillShade="BF"/>
          </w:tcPr>
          <w:p w:rsidR="00CF10DA" w:rsidRPr="00501C8E" w:rsidRDefault="00CF10DA" w:rsidP="0012465B">
            <w:pPr>
              <w:tabs>
                <w:tab w:val="left" w:pos="720"/>
              </w:tabs>
              <w:jc w:val="center"/>
              <w:rPr>
                <w:rFonts w:ascii="Arial" w:hAnsi="Arial" w:cs="Arial"/>
                <w:b/>
                <w:sz w:val="22"/>
                <w:szCs w:val="22"/>
              </w:rPr>
            </w:pPr>
            <w:r w:rsidRPr="00501C8E">
              <w:rPr>
                <w:rFonts w:ascii="Arial" w:hAnsi="Arial" w:cs="Arial"/>
                <w:b/>
                <w:sz w:val="22"/>
                <w:szCs w:val="22"/>
              </w:rPr>
              <w:t xml:space="preserve">Table </w:t>
            </w:r>
            <w:r w:rsidR="006F165A" w:rsidRPr="00501C8E">
              <w:rPr>
                <w:rFonts w:ascii="Arial" w:hAnsi="Arial" w:cs="Arial"/>
                <w:b/>
                <w:sz w:val="22"/>
                <w:szCs w:val="22"/>
              </w:rPr>
              <w:t>10</w:t>
            </w:r>
            <w:r w:rsidRPr="00501C8E">
              <w:rPr>
                <w:rFonts w:ascii="Arial" w:hAnsi="Arial" w:cs="Arial"/>
                <w:b/>
                <w:sz w:val="22"/>
                <w:szCs w:val="22"/>
              </w:rPr>
              <w:t xml:space="preserve"> – Collection rates</w:t>
            </w:r>
          </w:p>
        </w:tc>
      </w:tr>
      <w:tr w:rsidR="00CF10DA" w:rsidRPr="00501C8E" w:rsidTr="007A438E">
        <w:tc>
          <w:tcPr>
            <w:tcW w:w="5342" w:type="dxa"/>
          </w:tcPr>
          <w:p w:rsidR="00CF10DA" w:rsidRPr="00501C8E" w:rsidRDefault="00CF10DA" w:rsidP="007A438E">
            <w:pPr>
              <w:tabs>
                <w:tab w:val="left" w:pos="720"/>
              </w:tabs>
              <w:rPr>
                <w:rFonts w:ascii="Arial" w:hAnsi="Arial" w:cs="Arial"/>
                <w:sz w:val="22"/>
                <w:szCs w:val="22"/>
              </w:rPr>
            </w:pPr>
          </w:p>
        </w:tc>
        <w:tc>
          <w:tcPr>
            <w:tcW w:w="1134" w:type="dxa"/>
          </w:tcPr>
          <w:p w:rsidR="00CF10DA" w:rsidRPr="00501C8E" w:rsidRDefault="00CF10DA" w:rsidP="007A438E">
            <w:pPr>
              <w:tabs>
                <w:tab w:val="left" w:pos="720"/>
              </w:tabs>
              <w:jc w:val="center"/>
              <w:rPr>
                <w:rFonts w:ascii="Arial" w:hAnsi="Arial" w:cs="Arial"/>
                <w:b/>
                <w:sz w:val="22"/>
                <w:szCs w:val="22"/>
              </w:rPr>
            </w:pPr>
            <w:r w:rsidRPr="00501C8E">
              <w:rPr>
                <w:rFonts w:ascii="Arial" w:hAnsi="Arial" w:cs="Arial"/>
                <w:b/>
                <w:sz w:val="22"/>
                <w:szCs w:val="22"/>
              </w:rPr>
              <w:t>Council Tax</w:t>
            </w:r>
            <w:r w:rsidRPr="00501C8E">
              <w:rPr>
                <w:rFonts w:ascii="Arial" w:hAnsi="Arial" w:cs="Arial"/>
                <w:b/>
                <w:sz w:val="22"/>
                <w:szCs w:val="22"/>
              </w:rPr>
              <w:br/>
              <w:t>£’000</w:t>
            </w:r>
          </w:p>
        </w:tc>
        <w:tc>
          <w:tcPr>
            <w:tcW w:w="1134" w:type="dxa"/>
          </w:tcPr>
          <w:p w:rsidR="00CF10DA" w:rsidRPr="00501C8E" w:rsidRDefault="00CF10DA" w:rsidP="007A438E">
            <w:pPr>
              <w:tabs>
                <w:tab w:val="left" w:pos="720"/>
              </w:tabs>
              <w:jc w:val="center"/>
              <w:rPr>
                <w:rFonts w:ascii="Arial" w:hAnsi="Arial" w:cs="Arial"/>
                <w:b/>
                <w:sz w:val="22"/>
                <w:szCs w:val="22"/>
              </w:rPr>
            </w:pPr>
            <w:r w:rsidRPr="00501C8E">
              <w:rPr>
                <w:rFonts w:ascii="Arial" w:hAnsi="Arial" w:cs="Arial"/>
                <w:b/>
                <w:sz w:val="22"/>
                <w:szCs w:val="22"/>
              </w:rPr>
              <w:t>Business Rates</w:t>
            </w:r>
          </w:p>
          <w:p w:rsidR="00CF10DA" w:rsidRPr="00501C8E" w:rsidRDefault="00CF10DA" w:rsidP="007A438E">
            <w:pPr>
              <w:tabs>
                <w:tab w:val="left" w:pos="720"/>
              </w:tabs>
              <w:jc w:val="center"/>
              <w:rPr>
                <w:rFonts w:ascii="Arial" w:hAnsi="Arial" w:cs="Arial"/>
                <w:b/>
                <w:sz w:val="22"/>
                <w:szCs w:val="22"/>
              </w:rPr>
            </w:pPr>
            <w:r w:rsidRPr="00501C8E">
              <w:rPr>
                <w:rFonts w:ascii="Arial" w:hAnsi="Arial" w:cs="Arial"/>
                <w:b/>
                <w:sz w:val="22"/>
                <w:szCs w:val="22"/>
              </w:rPr>
              <w:t>£’000</w:t>
            </w:r>
          </w:p>
        </w:tc>
      </w:tr>
      <w:tr w:rsidR="00557E4B" w:rsidRPr="00501C8E" w:rsidTr="0063753C">
        <w:tc>
          <w:tcPr>
            <w:tcW w:w="5342" w:type="dxa"/>
          </w:tcPr>
          <w:p w:rsidR="00557E4B" w:rsidRPr="00501C8E" w:rsidRDefault="00557E4B" w:rsidP="00F21659">
            <w:pPr>
              <w:tabs>
                <w:tab w:val="left" w:pos="720"/>
              </w:tabs>
              <w:rPr>
                <w:rFonts w:ascii="Arial" w:hAnsi="Arial" w:cs="Arial"/>
                <w:sz w:val="22"/>
                <w:szCs w:val="22"/>
              </w:rPr>
            </w:pPr>
            <w:r w:rsidRPr="00501C8E">
              <w:rPr>
                <w:rFonts w:ascii="Arial" w:hAnsi="Arial" w:cs="Arial"/>
                <w:sz w:val="22"/>
                <w:szCs w:val="22"/>
              </w:rPr>
              <w:t>Collectable debit for the year</w:t>
            </w:r>
          </w:p>
        </w:tc>
        <w:tc>
          <w:tcPr>
            <w:tcW w:w="1134" w:type="dxa"/>
          </w:tcPr>
          <w:p w:rsidR="00557E4B" w:rsidRPr="00501C8E" w:rsidRDefault="008D06FA" w:rsidP="00BE286E">
            <w:pPr>
              <w:tabs>
                <w:tab w:val="left" w:pos="720"/>
              </w:tabs>
              <w:jc w:val="right"/>
              <w:rPr>
                <w:rFonts w:ascii="Arial" w:hAnsi="Arial" w:cs="Arial"/>
                <w:sz w:val="22"/>
                <w:szCs w:val="22"/>
              </w:rPr>
            </w:pPr>
            <w:r w:rsidRPr="00501C8E">
              <w:rPr>
                <w:rFonts w:ascii="Arial" w:hAnsi="Arial" w:cs="Arial"/>
                <w:sz w:val="22"/>
                <w:szCs w:val="22"/>
              </w:rPr>
              <w:t>54.588</w:t>
            </w:r>
          </w:p>
        </w:tc>
        <w:tc>
          <w:tcPr>
            <w:tcW w:w="1134" w:type="dxa"/>
          </w:tcPr>
          <w:p w:rsidR="00557E4B" w:rsidRPr="00501C8E" w:rsidRDefault="008D06FA" w:rsidP="008D06FA">
            <w:pPr>
              <w:tabs>
                <w:tab w:val="left" w:pos="720"/>
              </w:tabs>
              <w:jc w:val="right"/>
              <w:rPr>
                <w:rFonts w:ascii="Arial" w:hAnsi="Arial" w:cs="Arial"/>
                <w:sz w:val="22"/>
                <w:szCs w:val="22"/>
              </w:rPr>
            </w:pPr>
            <w:r w:rsidRPr="00501C8E">
              <w:rPr>
                <w:rFonts w:ascii="Arial" w:hAnsi="Arial" w:cs="Arial"/>
                <w:sz w:val="22"/>
                <w:szCs w:val="22"/>
              </w:rPr>
              <w:t>46</w:t>
            </w:r>
            <w:r w:rsidR="004D1451" w:rsidRPr="00501C8E">
              <w:rPr>
                <w:rFonts w:ascii="Arial" w:hAnsi="Arial" w:cs="Arial"/>
                <w:sz w:val="22"/>
                <w:szCs w:val="22"/>
              </w:rPr>
              <w:t>,</w:t>
            </w:r>
            <w:r w:rsidRPr="00501C8E">
              <w:rPr>
                <w:rFonts w:ascii="Arial" w:hAnsi="Arial" w:cs="Arial"/>
                <w:sz w:val="22"/>
                <w:szCs w:val="22"/>
              </w:rPr>
              <w:t>923</w:t>
            </w:r>
          </w:p>
        </w:tc>
      </w:tr>
      <w:tr w:rsidR="00557E4B" w:rsidRPr="00501C8E" w:rsidTr="0063753C">
        <w:tc>
          <w:tcPr>
            <w:tcW w:w="5342" w:type="dxa"/>
          </w:tcPr>
          <w:p w:rsidR="00557E4B" w:rsidRPr="00501C8E" w:rsidRDefault="00557E4B" w:rsidP="00CF10DA">
            <w:pPr>
              <w:tabs>
                <w:tab w:val="left" w:pos="720"/>
              </w:tabs>
              <w:rPr>
                <w:rFonts w:ascii="Arial" w:hAnsi="Arial" w:cs="Arial"/>
                <w:sz w:val="22"/>
                <w:szCs w:val="22"/>
              </w:rPr>
            </w:pPr>
            <w:r w:rsidRPr="00501C8E">
              <w:rPr>
                <w:rFonts w:ascii="Arial" w:hAnsi="Arial" w:cs="Arial"/>
                <w:sz w:val="22"/>
                <w:szCs w:val="22"/>
              </w:rPr>
              <w:t xml:space="preserve">Cash received </w:t>
            </w:r>
            <w:r w:rsidR="00CF10DA" w:rsidRPr="00501C8E">
              <w:rPr>
                <w:rFonts w:ascii="Arial" w:hAnsi="Arial" w:cs="Arial"/>
                <w:sz w:val="22"/>
                <w:szCs w:val="22"/>
              </w:rPr>
              <w:t>for period</w:t>
            </w:r>
          </w:p>
        </w:tc>
        <w:tc>
          <w:tcPr>
            <w:tcW w:w="1134" w:type="dxa"/>
          </w:tcPr>
          <w:p w:rsidR="00557E4B" w:rsidRPr="00501C8E" w:rsidRDefault="008D06FA" w:rsidP="008D06FA">
            <w:pPr>
              <w:tabs>
                <w:tab w:val="left" w:pos="720"/>
              </w:tabs>
              <w:jc w:val="right"/>
              <w:rPr>
                <w:rFonts w:ascii="Arial" w:hAnsi="Arial" w:cs="Arial"/>
                <w:sz w:val="22"/>
                <w:szCs w:val="22"/>
              </w:rPr>
            </w:pPr>
            <w:r w:rsidRPr="00501C8E">
              <w:rPr>
                <w:rFonts w:ascii="Arial" w:hAnsi="Arial" w:cs="Arial"/>
                <w:sz w:val="22"/>
                <w:szCs w:val="22"/>
              </w:rPr>
              <w:t>36,636</w:t>
            </w:r>
          </w:p>
        </w:tc>
        <w:tc>
          <w:tcPr>
            <w:tcW w:w="1134" w:type="dxa"/>
          </w:tcPr>
          <w:p w:rsidR="00557E4B" w:rsidRPr="00501C8E" w:rsidRDefault="008D06FA" w:rsidP="008D06FA">
            <w:pPr>
              <w:tabs>
                <w:tab w:val="left" w:pos="720"/>
              </w:tabs>
              <w:jc w:val="right"/>
              <w:rPr>
                <w:rFonts w:ascii="Arial" w:hAnsi="Arial" w:cs="Arial"/>
                <w:sz w:val="22"/>
                <w:szCs w:val="22"/>
              </w:rPr>
            </w:pPr>
            <w:r w:rsidRPr="00501C8E">
              <w:rPr>
                <w:rFonts w:ascii="Arial" w:hAnsi="Arial" w:cs="Arial"/>
                <w:sz w:val="22"/>
                <w:szCs w:val="22"/>
              </w:rPr>
              <w:t>29</w:t>
            </w:r>
            <w:r w:rsidR="004D1451" w:rsidRPr="00501C8E">
              <w:rPr>
                <w:rFonts w:ascii="Arial" w:hAnsi="Arial" w:cs="Arial"/>
                <w:sz w:val="22"/>
                <w:szCs w:val="22"/>
              </w:rPr>
              <w:t>,</w:t>
            </w:r>
            <w:r w:rsidRPr="00501C8E">
              <w:rPr>
                <w:rFonts w:ascii="Arial" w:hAnsi="Arial" w:cs="Arial"/>
                <w:sz w:val="22"/>
                <w:szCs w:val="22"/>
              </w:rPr>
              <w:t>406</w:t>
            </w:r>
          </w:p>
        </w:tc>
      </w:tr>
      <w:tr w:rsidR="00E660F6" w:rsidRPr="00501C8E" w:rsidTr="0063753C">
        <w:tc>
          <w:tcPr>
            <w:tcW w:w="5342" w:type="dxa"/>
          </w:tcPr>
          <w:p w:rsidR="00E660F6" w:rsidRPr="00501C8E" w:rsidRDefault="00E660F6" w:rsidP="00F21659">
            <w:pPr>
              <w:tabs>
                <w:tab w:val="left" w:pos="720"/>
              </w:tabs>
              <w:rPr>
                <w:rFonts w:ascii="Arial" w:hAnsi="Arial" w:cs="Arial"/>
                <w:sz w:val="22"/>
                <w:szCs w:val="22"/>
              </w:rPr>
            </w:pPr>
          </w:p>
        </w:tc>
        <w:tc>
          <w:tcPr>
            <w:tcW w:w="1134" w:type="dxa"/>
          </w:tcPr>
          <w:p w:rsidR="00E660F6" w:rsidRPr="00501C8E" w:rsidRDefault="00E660F6" w:rsidP="00BE286E">
            <w:pPr>
              <w:tabs>
                <w:tab w:val="left" w:pos="720"/>
              </w:tabs>
              <w:jc w:val="right"/>
              <w:rPr>
                <w:rFonts w:ascii="Arial" w:hAnsi="Arial" w:cs="Arial"/>
                <w:sz w:val="22"/>
                <w:szCs w:val="22"/>
              </w:rPr>
            </w:pPr>
          </w:p>
        </w:tc>
        <w:tc>
          <w:tcPr>
            <w:tcW w:w="1134" w:type="dxa"/>
          </w:tcPr>
          <w:p w:rsidR="00E660F6" w:rsidRPr="00501C8E" w:rsidRDefault="00E660F6" w:rsidP="00BE286E">
            <w:pPr>
              <w:tabs>
                <w:tab w:val="left" w:pos="720"/>
              </w:tabs>
              <w:jc w:val="right"/>
              <w:rPr>
                <w:rFonts w:ascii="Arial" w:hAnsi="Arial" w:cs="Arial"/>
                <w:sz w:val="22"/>
                <w:szCs w:val="22"/>
              </w:rPr>
            </w:pPr>
          </w:p>
        </w:tc>
      </w:tr>
      <w:tr w:rsidR="00E660F6" w:rsidRPr="00501C8E" w:rsidTr="002E370D">
        <w:tc>
          <w:tcPr>
            <w:tcW w:w="5342" w:type="dxa"/>
          </w:tcPr>
          <w:p w:rsidR="00E660F6" w:rsidRPr="00501C8E" w:rsidRDefault="00E660F6" w:rsidP="00E660F6">
            <w:pPr>
              <w:tabs>
                <w:tab w:val="left" w:pos="720"/>
              </w:tabs>
              <w:rPr>
                <w:rFonts w:ascii="Arial" w:hAnsi="Arial" w:cs="Arial"/>
                <w:sz w:val="22"/>
                <w:szCs w:val="22"/>
              </w:rPr>
            </w:pPr>
            <w:r w:rsidRPr="00501C8E">
              <w:rPr>
                <w:rFonts w:ascii="Arial" w:hAnsi="Arial" w:cs="Arial"/>
                <w:sz w:val="22"/>
                <w:szCs w:val="22"/>
              </w:rPr>
              <w:t xml:space="preserve">% of cash received to date – Target </w:t>
            </w:r>
          </w:p>
        </w:tc>
        <w:tc>
          <w:tcPr>
            <w:tcW w:w="1134" w:type="dxa"/>
          </w:tcPr>
          <w:p w:rsidR="00E660F6" w:rsidRPr="00501C8E" w:rsidRDefault="008D06FA" w:rsidP="008D06FA">
            <w:pPr>
              <w:tabs>
                <w:tab w:val="left" w:pos="720"/>
              </w:tabs>
              <w:jc w:val="right"/>
              <w:rPr>
                <w:rFonts w:ascii="Arial" w:hAnsi="Arial" w:cs="Arial"/>
                <w:sz w:val="22"/>
                <w:szCs w:val="22"/>
              </w:rPr>
            </w:pPr>
            <w:r w:rsidRPr="00501C8E">
              <w:rPr>
                <w:rFonts w:ascii="Arial" w:hAnsi="Arial" w:cs="Arial"/>
                <w:sz w:val="22"/>
                <w:szCs w:val="22"/>
              </w:rPr>
              <w:t>67</w:t>
            </w:r>
            <w:r w:rsidR="00E660F6" w:rsidRPr="00501C8E">
              <w:rPr>
                <w:rFonts w:ascii="Arial" w:hAnsi="Arial" w:cs="Arial"/>
                <w:sz w:val="22"/>
                <w:szCs w:val="22"/>
              </w:rPr>
              <w:t>.</w:t>
            </w:r>
            <w:r w:rsidRPr="00501C8E">
              <w:rPr>
                <w:rFonts w:ascii="Arial" w:hAnsi="Arial" w:cs="Arial"/>
                <w:sz w:val="22"/>
                <w:szCs w:val="22"/>
              </w:rPr>
              <w:t>11</w:t>
            </w:r>
            <w:r w:rsidR="00E660F6" w:rsidRPr="00501C8E">
              <w:rPr>
                <w:rFonts w:ascii="Arial" w:hAnsi="Arial" w:cs="Arial"/>
                <w:sz w:val="22"/>
                <w:szCs w:val="22"/>
              </w:rPr>
              <w:t>%</w:t>
            </w:r>
          </w:p>
        </w:tc>
        <w:tc>
          <w:tcPr>
            <w:tcW w:w="1134" w:type="dxa"/>
          </w:tcPr>
          <w:p w:rsidR="00E660F6" w:rsidRPr="00501C8E" w:rsidRDefault="008D06FA" w:rsidP="008D06FA">
            <w:pPr>
              <w:tabs>
                <w:tab w:val="left" w:pos="720"/>
              </w:tabs>
              <w:jc w:val="right"/>
              <w:rPr>
                <w:rFonts w:ascii="Arial" w:hAnsi="Arial" w:cs="Arial"/>
                <w:sz w:val="22"/>
                <w:szCs w:val="22"/>
              </w:rPr>
            </w:pPr>
            <w:r w:rsidRPr="00501C8E">
              <w:rPr>
                <w:rFonts w:ascii="Arial" w:hAnsi="Arial" w:cs="Arial"/>
                <w:sz w:val="22"/>
                <w:szCs w:val="22"/>
              </w:rPr>
              <w:t>62</w:t>
            </w:r>
            <w:r w:rsidR="00E660F6" w:rsidRPr="00501C8E">
              <w:rPr>
                <w:rFonts w:ascii="Arial" w:hAnsi="Arial" w:cs="Arial"/>
                <w:sz w:val="22"/>
                <w:szCs w:val="22"/>
              </w:rPr>
              <w:t>.</w:t>
            </w:r>
            <w:r w:rsidRPr="00501C8E">
              <w:rPr>
                <w:rFonts w:ascii="Arial" w:hAnsi="Arial" w:cs="Arial"/>
                <w:sz w:val="22"/>
                <w:szCs w:val="22"/>
              </w:rPr>
              <w:t>67</w:t>
            </w:r>
            <w:r w:rsidR="00E660F6" w:rsidRPr="00501C8E">
              <w:rPr>
                <w:rFonts w:ascii="Arial" w:hAnsi="Arial" w:cs="Arial"/>
                <w:sz w:val="22"/>
                <w:szCs w:val="22"/>
              </w:rPr>
              <w:t>%</w:t>
            </w:r>
          </w:p>
        </w:tc>
      </w:tr>
      <w:tr w:rsidR="00557E4B" w:rsidRPr="00501C8E" w:rsidTr="0063753C">
        <w:tc>
          <w:tcPr>
            <w:tcW w:w="5342" w:type="dxa"/>
          </w:tcPr>
          <w:p w:rsidR="00557E4B" w:rsidRPr="00501C8E" w:rsidRDefault="00557E4B" w:rsidP="00E660F6">
            <w:pPr>
              <w:tabs>
                <w:tab w:val="left" w:pos="720"/>
              </w:tabs>
              <w:rPr>
                <w:rFonts w:ascii="Arial" w:hAnsi="Arial" w:cs="Arial"/>
                <w:sz w:val="22"/>
                <w:szCs w:val="22"/>
              </w:rPr>
            </w:pPr>
            <w:r w:rsidRPr="00501C8E">
              <w:rPr>
                <w:rFonts w:ascii="Arial" w:hAnsi="Arial" w:cs="Arial"/>
                <w:sz w:val="22"/>
                <w:szCs w:val="22"/>
              </w:rPr>
              <w:t xml:space="preserve">% of cash received </w:t>
            </w:r>
            <w:r w:rsidR="004D1451" w:rsidRPr="00501C8E">
              <w:rPr>
                <w:rFonts w:ascii="Arial" w:hAnsi="Arial" w:cs="Arial"/>
                <w:sz w:val="22"/>
                <w:szCs w:val="22"/>
              </w:rPr>
              <w:t>to date</w:t>
            </w:r>
            <w:r w:rsidR="00E660F6" w:rsidRPr="00501C8E">
              <w:rPr>
                <w:rFonts w:ascii="Arial" w:hAnsi="Arial" w:cs="Arial"/>
                <w:sz w:val="22"/>
                <w:szCs w:val="22"/>
              </w:rPr>
              <w:t xml:space="preserve"> – Actual </w:t>
            </w:r>
          </w:p>
        </w:tc>
        <w:tc>
          <w:tcPr>
            <w:tcW w:w="1134" w:type="dxa"/>
          </w:tcPr>
          <w:p w:rsidR="00557E4B" w:rsidRPr="00501C8E" w:rsidRDefault="008D06FA" w:rsidP="008D06FA">
            <w:pPr>
              <w:tabs>
                <w:tab w:val="left" w:pos="720"/>
              </w:tabs>
              <w:jc w:val="right"/>
              <w:rPr>
                <w:rFonts w:ascii="Arial" w:hAnsi="Arial" w:cs="Arial"/>
                <w:sz w:val="22"/>
                <w:szCs w:val="22"/>
              </w:rPr>
            </w:pPr>
            <w:r w:rsidRPr="00501C8E">
              <w:rPr>
                <w:rFonts w:ascii="Arial" w:hAnsi="Arial" w:cs="Arial"/>
                <w:sz w:val="22"/>
                <w:szCs w:val="22"/>
              </w:rPr>
              <w:t>67</w:t>
            </w:r>
            <w:r w:rsidR="00E660F6" w:rsidRPr="00501C8E">
              <w:rPr>
                <w:rFonts w:ascii="Arial" w:hAnsi="Arial" w:cs="Arial"/>
                <w:sz w:val="22"/>
                <w:szCs w:val="22"/>
              </w:rPr>
              <w:t>.</w:t>
            </w:r>
            <w:r w:rsidRPr="00501C8E">
              <w:rPr>
                <w:rFonts w:ascii="Arial" w:hAnsi="Arial" w:cs="Arial"/>
                <w:sz w:val="22"/>
                <w:szCs w:val="22"/>
              </w:rPr>
              <w:t>11</w:t>
            </w:r>
            <w:r w:rsidR="00557E4B" w:rsidRPr="00501C8E">
              <w:rPr>
                <w:rFonts w:ascii="Arial" w:hAnsi="Arial" w:cs="Arial"/>
                <w:sz w:val="22"/>
                <w:szCs w:val="22"/>
              </w:rPr>
              <w:t>%</w:t>
            </w:r>
          </w:p>
        </w:tc>
        <w:tc>
          <w:tcPr>
            <w:tcW w:w="1134" w:type="dxa"/>
          </w:tcPr>
          <w:p w:rsidR="00557E4B" w:rsidRPr="00501C8E" w:rsidRDefault="008D06FA" w:rsidP="008D06FA">
            <w:pPr>
              <w:tabs>
                <w:tab w:val="left" w:pos="720"/>
              </w:tabs>
              <w:jc w:val="right"/>
              <w:rPr>
                <w:rFonts w:ascii="Arial" w:hAnsi="Arial" w:cs="Arial"/>
                <w:sz w:val="22"/>
                <w:szCs w:val="22"/>
              </w:rPr>
            </w:pPr>
            <w:r w:rsidRPr="00501C8E">
              <w:rPr>
                <w:rFonts w:ascii="Arial" w:hAnsi="Arial" w:cs="Arial"/>
                <w:sz w:val="22"/>
                <w:szCs w:val="22"/>
              </w:rPr>
              <w:t>62</w:t>
            </w:r>
            <w:r w:rsidR="004D1451" w:rsidRPr="00501C8E">
              <w:rPr>
                <w:rFonts w:ascii="Arial" w:hAnsi="Arial" w:cs="Arial"/>
                <w:sz w:val="22"/>
                <w:szCs w:val="22"/>
              </w:rPr>
              <w:t>.</w:t>
            </w:r>
            <w:r w:rsidRPr="00501C8E">
              <w:rPr>
                <w:rFonts w:ascii="Arial" w:hAnsi="Arial" w:cs="Arial"/>
                <w:sz w:val="22"/>
                <w:szCs w:val="22"/>
              </w:rPr>
              <w:t>67</w:t>
            </w:r>
            <w:r w:rsidR="00557E4B" w:rsidRPr="00501C8E">
              <w:rPr>
                <w:rFonts w:ascii="Arial" w:hAnsi="Arial" w:cs="Arial"/>
                <w:sz w:val="22"/>
                <w:szCs w:val="22"/>
              </w:rPr>
              <w:t>%</w:t>
            </w:r>
          </w:p>
        </w:tc>
      </w:tr>
      <w:tr w:rsidR="00557E4B" w:rsidRPr="00501C8E" w:rsidTr="0063753C">
        <w:tc>
          <w:tcPr>
            <w:tcW w:w="5342" w:type="dxa"/>
          </w:tcPr>
          <w:p w:rsidR="00557E4B" w:rsidRPr="00501C8E" w:rsidRDefault="00557E4B" w:rsidP="00F21659">
            <w:pPr>
              <w:tabs>
                <w:tab w:val="left" w:pos="720"/>
              </w:tabs>
              <w:rPr>
                <w:rFonts w:ascii="Arial" w:hAnsi="Arial" w:cs="Arial"/>
                <w:sz w:val="22"/>
                <w:szCs w:val="22"/>
              </w:rPr>
            </w:pPr>
          </w:p>
        </w:tc>
        <w:tc>
          <w:tcPr>
            <w:tcW w:w="1134" w:type="dxa"/>
          </w:tcPr>
          <w:p w:rsidR="00557E4B" w:rsidRPr="00501C8E" w:rsidRDefault="00557E4B" w:rsidP="00F21659">
            <w:pPr>
              <w:tabs>
                <w:tab w:val="left" w:pos="720"/>
              </w:tabs>
              <w:jc w:val="right"/>
              <w:rPr>
                <w:rFonts w:ascii="Arial" w:hAnsi="Arial" w:cs="Arial"/>
                <w:sz w:val="22"/>
                <w:szCs w:val="22"/>
              </w:rPr>
            </w:pPr>
          </w:p>
        </w:tc>
        <w:tc>
          <w:tcPr>
            <w:tcW w:w="1134" w:type="dxa"/>
          </w:tcPr>
          <w:p w:rsidR="00557E4B" w:rsidRPr="00501C8E" w:rsidRDefault="00557E4B" w:rsidP="00F21659">
            <w:pPr>
              <w:tabs>
                <w:tab w:val="left" w:pos="720"/>
              </w:tabs>
              <w:jc w:val="right"/>
              <w:rPr>
                <w:rFonts w:ascii="Arial" w:hAnsi="Arial" w:cs="Arial"/>
                <w:sz w:val="22"/>
                <w:szCs w:val="22"/>
              </w:rPr>
            </w:pPr>
          </w:p>
        </w:tc>
      </w:tr>
      <w:tr w:rsidR="00E660F6" w:rsidRPr="00501C8E" w:rsidTr="002E370D">
        <w:tc>
          <w:tcPr>
            <w:tcW w:w="5342" w:type="dxa"/>
          </w:tcPr>
          <w:p w:rsidR="00E660F6" w:rsidRPr="00501C8E" w:rsidRDefault="00E660F6" w:rsidP="002E370D">
            <w:pPr>
              <w:tabs>
                <w:tab w:val="left" w:pos="720"/>
              </w:tabs>
              <w:rPr>
                <w:rFonts w:ascii="Arial" w:hAnsi="Arial" w:cs="Arial"/>
                <w:sz w:val="22"/>
                <w:szCs w:val="22"/>
              </w:rPr>
            </w:pPr>
            <w:r w:rsidRPr="00501C8E">
              <w:rPr>
                <w:rFonts w:ascii="Arial" w:hAnsi="Arial" w:cs="Arial"/>
                <w:sz w:val="22"/>
                <w:szCs w:val="22"/>
              </w:rPr>
              <w:t>% of cash received for the year – Target</w:t>
            </w:r>
          </w:p>
        </w:tc>
        <w:tc>
          <w:tcPr>
            <w:tcW w:w="1134" w:type="dxa"/>
          </w:tcPr>
          <w:p w:rsidR="00E660F6" w:rsidRPr="00501C8E" w:rsidRDefault="00E660F6" w:rsidP="002E370D">
            <w:pPr>
              <w:tabs>
                <w:tab w:val="left" w:pos="720"/>
              </w:tabs>
              <w:jc w:val="right"/>
              <w:rPr>
                <w:rFonts w:ascii="Arial" w:hAnsi="Arial" w:cs="Arial"/>
                <w:sz w:val="22"/>
                <w:szCs w:val="22"/>
              </w:rPr>
            </w:pPr>
            <w:r w:rsidRPr="00501C8E">
              <w:rPr>
                <w:rFonts w:ascii="Arial" w:hAnsi="Arial" w:cs="Arial"/>
                <w:sz w:val="22"/>
                <w:szCs w:val="22"/>
              </w:rPr>
              <w:t>99.00%</w:t>
            </w:r>
          </w:p>
        </w:tc>
        <w:tc>
          <w:tcPr>
            <w:tcW w:w="1134" w:type="dxa"/>
          </w:tcPr>
          <w:p w:rsidR="00E660F6" w:rsidRPr="00501C8E" w:rsidRDefault="00E660F6" w:rsidP="002E370D">
            <w:pPr>
              <w:tabs>
                <w:tab w:val="left" w:pos="720"/>
              </w:tabs>
              <w:jc w:val="right"/>
              <w:rPr>
                <w:rFonts w:ascii="Arial" w:hAnsi="Arial" w:cs="Arial"/>
                <w:sz w:val="22"/>
                <w:szCs w:val="22"/>
              </w:rPr>
            </w:pPr>
            <w:r w:rsidRPr="00501C8E">
              <w:rPr>
                <w:rFonts w:ascii="Arial" w:hAnsi="Arial" w:cs="Arial"/>
                <w:sz w:val="22"/>
                <w:szCs w:val="22"/>
              </w:rPr>
              <w:t>99.00%</w:t>
            </w:r>
          </w:p>
        </w:tc>
      </w:tr>
      <w:tr w:rsidR="00E660F6" w:rsidRPr="00501C8E" w:rsidTr="002E370D">
        <w:tc>
          <w:tcPr>
            <w:tcW w:w="5342" w:type="dxa"/>
          </w:tcPr>
          <w:p w:rsidR="00E660F6" w:rsidRPr="00501C8E" w:rsidRDefault="00E660F6" w:rsidP="002E370D">
            <w:pPr>
              <w:tabs>
                <w:tab w:val="left" w:pos="720"/>
              </w:tabs>
              <w:rPr>
                <w:rFonts w:ascii="Arial" w:hAnsi="Arial" w:cs="Arial"/>
                <w:sz w:val="22"/>
                <w:szCs w:val="22"/>
              </w:rPr>
            </w:pPr>
          </w:p>
        </w:tc>
        <w:tc>
          <w:tcPr>
            <w:tcW w:w="1134" w:type="dxa"/>
          </w:tcPr>
          <w:p w:rsidR="00E660F6" w:rsidRPr="00501C8E" w:rsidRDefault="00E660F6" w:rsidP="002E370D">
            <w:pPr>
              <w:tabs>
                <w:tab w:val="left" w:pos="720"/>
              </w:tabs>
              <w:jc w:val="right"/>
              <w:rPr>
                <w:rFonts w:ascii="Arial" w:hAnsi="Arial" w:cs="Arial"/>
                <w:sz w:val="22"/>
                <w:szCs w:val="22"/>
              </w:rPr>
            </w:pPr>
          </w:p>
        </w:tc>
        <w:tc>
          <w:tcPr>
            <w:tcW w:w="1134" w:type="dxa"/>
          </w:tcPr>
          <w:p w:rsidR="00E660F6" w:rsidRPr="00501C8E" w:rsidRDefault="00E660F6" w:rsidP="002E370D">
            <w:pPr>
              <w:tabs>
                <w:tab w:val="left" w:pos="720"/>
              </w:tabs>
              <w:jc w:val="right"/>
              <w:rPr>
                <w:rFonts w:ascii="Arial" w:hAnsi="Arial" w:cs="Arial"/>
                <w:sz w:val="22"/>
                <w:szCs w:val="22"/>
              </w:rPr>
            </w:pPr>
          </w:p>
        </w:tc>
      </w:tr>
      <w:tr w:rsidR="00557E4B" w:rsidRPr="00501C8E" w:rsidTr="0063753C">
        <w:tc>
          <w:tcPr>
            <w:tcW w:w="5342" w:type="dxa"/>
          </w:tcPr>
          <w:p w:rsidR="00557E4B" w:rsidRPr="00501C8E" w:rsidRDefault="00557E4B" w:rsidP="00F21659">
            <w:pPr>
              <w:tabs>
                <w:tab w:val="left" w:pos="720"/>
              </w:tabs>
              <w:rPr>
                <w:rFonts w:ascii="Arial" w:hAnsi="Arial" w:cs="Arial"/>
                <w:sz w:val="22"/>
                <w:szCs w:val="22"/>
              </w:rPr>
            </w:pPr>
            <w:r w:rsidRPr="00501C8E">
              <w:rPr>
                <w:rFonts w:ascii="Arial" w:hAnsi="Arial" w:cs="Arial"/>
                <w:sz w:val="22"/>
                <w:szCs w:val="22"/>
              </w:rPr>
              <w:t>% of collectable debit written off</w:t>
            </w:r>
          </w:p>
        </w:tc>
        <w:tc>
          <w:tcPr>
            <w:tcW w:w="1134" w:type="dxa"/>
          </w:tcPr>
          <w:p w:rsidR="00557E4B" w:rsidRPr="00501C8E" w:rsidRDefault="00557E4B" w:rsidP="00426CC7">
            <w:pPr>
              <w:tabs>
                <w:tab w:val="left" w:pos="720"/>
              </w:tabs>
              <w:jc w:val="right"/>
              <w:rPr>
                <w:rFonts w:ascii="Arial" w:hAnsi="Arial" w:cs="Arial"/>
                <w:sz w:val="22"/>
                <w:szCs w:val="22"/>
              </w:rPr>
            </w:pPr>
            <w:r w:rsidRPr="00501C8E">
              <w:rPr>
                <w:rFonts w:ascii="Arial" w:hAnsi="Arial" w:cs="Arial"/>
                <w:sz w:val="22"/>
                <w:szCs w:val="22"/>
              </w:rPr>
              <w:t>0.0</w:t>
            </w:r>
            <w:r w:rsidR="00426CC7" w:rsidRPr="00501C8E">
              <w:rPr>
                <w:rFonts w:ascii="Arial" w:hAnsi="Arial" w:cs="Arial"/>
                <w:sz w:val="22"/>
                <w:szCs w:val="22"/>
              </w:rPr>
              <w:t>0</w:t>
            </w:r>
            <w:r w:rsidRPr="00501C8E">
              <w:rPr>
                <w:rFonts w:ascii="Arial" w:hAnsi="Arial" w:cs="Arial"/>
                <w:sz w:val="22"/>
                <w:szCs w:val="22"/>
              </w:rPr>
              <w:t>%</w:t>
            </w:r>
          </w:p>
        </w:tc>
        <w:tc>
          <w:tcPr>
            <w:tcW w:w="1134" w:type="dxa"/>
          </w:tcPr>
          <w:p w:rsidR="00557E4B" w:rsidRPr="00501C8E" w:rsidRDefault="00557E4B" w:rsidP="00F21659">
            <w:pPr>
              <w:tabs>
                <w:tab w:val="left" w:pos="720"/>
              </w:tabs>
              <w:jc w:val="right"/>
              <w:rPr>
                <w:rFonts w:ascii="Arial" w:hAnsi="Arial" w:cs="Arial"/>
                <w:sz w:val="22"/>
                <w:szCs w:val="22"/>
              </w:rPr>
            </w:pPr>
            <w:r w:rsidRPr="00501C8E">
              <w:rPr>
                <w:rFonts w:ascii="Arial" w:hAnsi="Arial" w:cs="Arial"/>
                <w:sz w:val="22"/>
                <w:szCs w:val="22"/>
              </w:rPr>
              <w:t>0.0</w:t>
            </w:r>
            <w:r w:rsidR="008A3212" w:rsidRPr="00501C8E">
              <w:rPr>
                <w:rFonts w:ascii="Arial" w:hAnsi="Arial" w:cs="Arial"/>
                <w:sz w:val="22"/>
                <w:szCs w:val="22"/>
              </w:rPr>
              <w:t>0</w:t>
            </w:r>
            <w:r w:rsidRPr="00501C8E">
              <w:rPr>
                <w:rFonts w:ascii="Arial" w:hAnsi="Arial" w:cs="Arial"/>
                <w:sz w:val="22"/>
                <w:szCs w:val="22"/>
              </w:rPr>
              <w:t>%</w:t>
            </w:r>
          </w:p>
        </w:tc>
      </w:tr>
    </w:tbl>
    <w:p w:rsidR="00557E4B" w:rsidRPr="00501C8E" w:rsidRDefault="00557E4B" w:rsidP="00F21659">
      <w:pPr>
        <w:tabs>
          <w:tab w:val="left" w:pos="720"/>
        </w:tabs>
        <w:ind w:left="709"/>
        <w:rPr>
          <w:rFonts w:ascii="Arial" w:hAnsi="Arial" w:cs="Arial"/>
          <w:sz w:val="22"/>
          <w:szCs w:val="22"/>
        </w:rPr>
      </w:pPr>
    </w:p>
    <w:p w:rsidR="004431BC" w:rsidRPr="00501C8E" w:rsidRDefault="00CF10DA" w:rsidP="00F21659">
      <w:pPr>
        <w:tabs>
          <w:tab w:val="left" w:pos="720"/>
        </w:tabs>
        <w:ind w:left="720" w:hanging="720"/>
        <w:rPr>
          <w:rFonts w:ascii="Arial" w:hAnsi="Arial" w:cs="Arial"/>
          <w:sz w:val="22"/>
          <w:szCs w:val="22"/>
        </w:rPr>
      </w:pPr>
      <w:r w:rsidRPr="00501C8E">
        <w:rPr>
          <w:rFonts w:ascii="Arial" w:hAnsi="Arial" w:cs="Arial"/>
          <w:sz w:val="22"/>
          <w:szCs w:val="22"/>
        </w:rPr>
        <w:t xml:space="preserve"> </w:t>
      </w:r>
      <w:r w:rsidR="00E1069B" w:rsidRPr="00501C8E">
        <w:rPr>
          <w:rFonts w:ascii="Arial" w:hAnsi="Arial" w:cs="Arial"/>
          <w:sz w:val="22"/>
          <w:szCs w:val="22"/>
        </w:rPr>
        <w:t>2.2</w:t>
      </w:r>
      <w:r w:rsidR="000E2C63" w:rsidRPr="00501C8E">
        <w:rPr>
          <w:rFonts w:ascii="Arial" w:hAnsi="Arial" w:cs="Arial"/>
          <w:sz w:val="22"/>
          <w:szCs w:val="22"/>
        </w:rPr>
        <w:t>1</w:t>
      </w:r>
      <w:r w:rsidR="006B4181" w:rsidRPr="00501C8E">
        <w:rPr>
          <w:rFonts w:ascii="Arial" w:hAnsi="Arial" w:cs="Arial"/>
          <w:sz w:val="22"/>
          <w:szCs w:val="22"/>
        </w:rPr>
        <w:tab/>
        <w:t xml:space="preserve">Surrey Councils have formed a business rates pool with the London Borough of Croydon. The system of paying “levies” to government for resources to be distributed nationally is complex. But Surrey County Council and LB Croydon receive “top ups” from the national pool. If a “tariff” council joins the pool, and all of the districts and </w:t>
      </w:r>
      <w:r w:rsidR="00D00B32" w:rsidRPr="00501C8E">
        <w:rPr>
          <w:rFonts w:ascii="Arial" w:hAnsi="Arial" w:cs="Arial"/>
          <w:sz w:val="22"/>
          <w:szCs w:val="22"/>
        </w:rPr>
        <w:t>boroughs</w:t>
      </w:r>
      <w:r w:rsidR="006B4181" w:rsidRPr="00501C8E">
        <w:rPr>
          <w:rFonts w:ascii="Arial" w:hAnsi="Arial" w:cs="Arial"/>
          <w:sz w:val="22"/>
          <w:szCs w:val="22"/>
        </w:rPr>
        <w:t xml:space="preserve"> in Surrey are Tariff councils, then the pool pays no additional </w:t>
      </w:r>
      <w:r w:rsidR="00D00B32" w:rsidRPr="00501C8E">
        <w:rPr>
          <w:rFonts w:ascii="Arial" w:hAnsi="Arial" w:cs="Arial"/>
          <w:sz w:val="22"/>
          <w:szCs w:val="22"/>
        </w:rPr>
        <w:t>tariffs</w:t>
      </w:r>
      <w:r w:rsidR="006B4181" w:rsidRPr="00501C8E">
        <w:rPr>
          <w:rFonts w:ascii="Arial" w:hAnsi="Arial" w:cs="Arial"/>
          <w:sz w:val="22"/>
          <w:szCs w:val="22"/>
        </w:rPr>
        <w:t xml:space="preserve"> to government, the business rates pool </w:t>
      </w:r>
      <w:r w:rsidR="00D00B32" w:rsidRPr="00501C8E">
        <w:rPr>
          <w:rFonts w:ascii="Arial" w:hAnsi="Arial" w:cs="Arial"/>
          <w:sz w:val="22"/>
          <w:szCs w:val="22"/>
        </w:rPr>
        <w:t>receives</w:t>
      </w:r>
      <w:r w:rsidR="006B4181" w:rsidRPr="00501C8E">
        <w:rPr>
          <w:rFonts w:ascii="Arial" w:hAnsi="Arial" w:cs="Arial"/>
          <w:sz w:val="22"/>
          <w:szCs w:val="22"/>
        </w:rPr>
        <w:t xml:space="preserve"> additional income which is shared between pool members</w:t>
      </w:r>
      <w:r w:rsidR="00733787" w:rsidRPr="00501C8E">
        <w:rPr>
          <w:rFonts w:ascii="Arial" w:hAnsi="Arial" w:cs="Arial"/>
          <w:sz w:val="22"/>
          <w:szCs w:val="22"/>
        </w:rPr>
        <w:t xml:space="preserve">. </w:t>
      </w:r>
    </w:p>
    <w:p w:rsidR="004431BC" w:rsidRPr="00501C8E" w:rsidRDefault="004431BC" w:rsidP="00F21659">
      <w:pPr>
        <w:tabs>
          <w:tab w:val="left" w:pos="720"/>
        </w:tabs>
        <w:ind w:left="720" w:hanging="720"/>
        <w:rPr>
          <w:rFonts w:ascii="Arial" w:hAnsi="Arial" w:cs="Arial"/>
          <w:sz w:val="22"/>
          <w:szCs w:val="22"/>
        </w:rPr>
      </w:pPr>
    </w:p>
    <w:p w:rsidR="0066799F" w:rsidRPr="00501C8E" w:rsidRDefault="004431BC" w:rsidP="00F21659">
      <w:pPr>
        <w:tabs>
          <w:tab w:val="left" w:pos="720"/>
        </w:tabs>
        <w:ind w:left="720" w:hanging="720"/>
        <w:rPr>
          <w:rFonts w:ascii="Arial" w:hAnsi="Arial" w:cs="Arial"/>
          <w:sz w:val="22"/>
          <w:szCs w:val="22"/>
        </w:rPr>
      </w:pPr>
      <w:r w:rsidRPr="00501C8E">
        <w:rPr>
          <w:rFonts w:ascii="Arial" w:hAnsi="Arial" w:cs="Arial"/>
          <w:sz w:val="22"/>
          <w:szCs w:val="22"/>
        </w:rPr>
        <w:t>2.2</w:t>
      </w:r>
      <w:r w:rsidR="000E2C63" w:rsidRPr="00501C8E">
        <w:rPr>
          <w:rFonts w:ascii="Arial" w:hAnsi="Arial" w:cs="Arial"/>
          <w:sz w:val="22"/>
          <w:szCs w:val="22"/>
        </w:rPr>
        <w:t>2</w:t>
      </w:r>
      <w:r w:rsidRPr="00501C8E">
        <w:rPr>
          <w:rFonts w:ascii="Arial" w:hAnsi="Arial" w:cs="Arial"/>
          <w:sz w:val="22"/>
          <w:szCs w:val="22"/>
        </w:rPr>
        <w:tab/>
        <w:t>Each year the Surrey T</w:t>
      </w:r>
      <w:r w:rsidR="00733787" w:rsidRPr="00501C8E">
        <w:rPr>
          <w:rFonts w:ascii="Arial" w:hAnsi="Arial" w:cs="Arial"/>
          <w:sz w:val="22"/>
          <w:szCs w:val="22"/>
        </w:rPr>
        <w:t xml:space="preserve">reasurers and the LB Croydon </w:t>
      </w:r>
      <w:r w:rsidRPr="00501C8E">
        <w:rPr>
          <w:rFonts w:ascii="Arial" w:hAnsi="Arial" w:cs="Arial"/>
          <w:sz w:val="22"/>
          <w:szCs w:val="22"/>
        </w:rPr>
        <w:t>C</w:t>
      </w:r>
      <w:r w:rsidR="00733787" w:rsidRPr="00501C8E">
        <w:rPr>
          <w:rFonts w:ascii="Arial" w:hAnsi="Arial" w:cs="Arial"/>
          <w:sz w:val="22"/>
          <w:szCs w:val="22"/>
        </w:rPr>
        <w:t xml:space="preserve">hief </w:t>
      </w:r>
      <w:r w:rsidRPr="00501C8E">
        <w:rPr>
          <w:rFonts w:ascii="Arial" w:hAnsi="Arial" w:cs="Arial"/>
          <w:sz w:val="22"/>
          <w:szCs w:val="22"/>
        </w:rPr>
        <w:t>Finance O</w:t>
      </w:r>
      <w:r w:rsidR="00733787" w:rsidRPr="00501C8E">
        <w:rPr>
          <w:rFonts w:ascii="Arial" w:hAnsi="Arial" w:cs="Arial"/>
          <w:sz w:val="22"/>
          <w:szCs w:val="22"/>
        </w:rPr>
        <w:t xml:space="preserve">fficer recalculate the various combinations of pool membership to gain the maximum advantage on business rates we can retain. </w:t>
      </w:r>
      <w:r w:rsidR="00620F61" w:rsidRPr="00501C8E">
        <w:rPr>
          <w:rFonts w:ascii="Arial" w:hAnsi="Arial" w:cs="Arial"/>
          <w:sz w:val="22"/>
          <w:szCs w:val="22"/>
        </w:rPr>
        <w:t xml:space="preserve">Due to the revaluation exercise Runnymede being in the pool </w:t>
      </w:r>
      <w:r w:rsidRPr="00501C8E">
        <w:rPr>
          <w:rFonts w:ascii="Arial" w:hAnsi="Arial" w:cs="Arial"/>
          <w:sz w:val="22"/>
          <w:szCs w:val="22"/>
        </w:rPr>
        <w:t xml:space="preserve">in 2017/18 </w:t>
      </w:r>
      <w:r w:rsidR="00620F61" w:rsidRPr="00501C8E">
        <w:rPr>
          <w:rFonts w:ascii="Arial" w:hAnsi="Arial" w:cs="Arial"/>
          <w:sz w:val="22"/>
          <w:szCs w:val="22"/>
        </w:rPr>
        <w:t>would increase the tariff paid by the pool by around 11% as it would exceed the “top up” needed by Surrey CC and LB Croydon</w:t>
      </w:r>
      <w:r w:rsidRPr="00501C8E">
        <w:rPr>
          <w:rFonts w:ascii="Arial" w:hAnsi="Arial" w:cs="Arial"/>
          <w:sz w:val="22"/>
          <w:szCs w:val="22"/>
        </w:rPr>
        <w:t xml:space="preserve"> so we will not be in the pool next year</w:t>
      </w:r>
      <w:r w:rsidR="00620F61" w:rsidRPr="00501C8E">
        <w:rPr>
          <w:rFonts w:ascii="Arial" w:hAnsi="Arial" w:cs="Arial"/>
          <w:sz w:val="22"/>
          <w:szCs w:val="22"/>
        </w:rPr>
        <w:t>. For</w:t>
      </w:r>
      <w:r w:rsidR="00733787" w:rsidRPr="00501C8E">
        <w:rPr>
          <w:rFonts w:ascii="Arial" w:hAnsi="Arial" w:cs="Arial"/>
          <w:sz w:val="22"/>
          <w:szCs w:val="22"/>
        </w:rPr>
        <w:t xml:space="preserve"> the first two years of the </w:t>
      </w:r>
      <w:r w:rsidR="00D00B32" w:rsidRPr="00501C8E">
        <w:rPr>
          <w:rFonts w:ascii="Arial" w:hAnsi="Arial" w:cs="Arial"/>
          <w:sz w:val="22"/>
          <w:szCs w:val="22"/>
        </w:rPr>
        <w:t>scheme</w:t>
      </w:r>
      <w:r w:rsidR="00733787" w:rsidRPr="00501C8E">
        <w:rPr>
          <w:rFonts w:ascii="Arial" w:hAnsi="Arial" w:cs="Arial"/>
          <w:sz w:val="22"/>
          <w:szCs w:val="22"/>
        </w:rPr>
        <w:t xml:space="preserve"> Runnymede BC was not in the pool, but did join in 2016/17 to give an additional £300k of income to the Generals Fund this financial year.</w:t>
      </w:r>
    </w:p>
    <w:p w:rsidR="00733787" w:rsidRPr="00501C8E" w:rsidRDefault="00733787" w:rsidP="00F21659">
      <w:pPr>
        <w:tabs>
          <w:tab w:val="left" w:pos="720"/>
        </w:tabs>
        <w:ind w:left="720" w:hanging="720"/>
        <w:rPr>
          <w:rFonts w:ascii="Arial" w:hAnsi="Arial" w:cs="Arial"/>
          <w:sz w:val="22"/>
          <w:szCs w:val="22"/>
        </w:rPr>
      </w:pPr>
    </w:p>
    <w:p w:rsidR="00733787" w:rsidRPr="00501C8E" w:rsidRDefault="00733787" w:rsidP="00F21659">
      <w:pPr>
        <w:tabs>
          <w:tab w:val="left" w:pos="720"/>
        </w:tabs>
        <w:ind w:left="720" w:hanging="720"/>
        <w:rPr>
          <w:rFonts w:ascii="Arial" w:hAnsi="Arial" w:cs="Arial"/>
          <w:sz w:val="22"/>
          <w:szCs w:val="22"/>
        </w:rPr>
      </w:pPr>
      <w:r w:rsidRPr="00501C8E">
        <w:rPr>
          <w:rFonts w:ascii="Arial" w:hAnsi="Arial" w:cs="Arial"/>
          <w:sz w:val="22"/>
          <w:szCs w:val="22"/>
        </w:rPr>
        <w:t>2.2</w:t>
      </w:r>
      <w:r w:rsidR="000E2C63" w:rsidRPr="00501C8E">
        <w:rPr>
          <w:rFonts w:ascii="Arial" w:hAnsi="Arial" w:cs="Arial"/>
          <w:sz w:val="22"/>
          <w:szCs w:val="22"/>
        </w:rPr>
        <w:t>3</w:t>
      </w:r>
      <w:r w:rsidRPr="00501C8E">
        <w:rPr>
          <w:rFonts w:ascii="Arial" w:hAnsi="Arial" w:cs="Arial"/>
          <w:sz w:val="22"/>
          <w:szCs w:val="22"/>
        </w:rPr>
        <w:tab/>
        <w:t xml:space="preserve">The deadline for submissions to </w:t>
      </w:r>
      <w:r w:rsidR="00D00B32" w:rsidRPr="00501C8E">
        <w:rPr>
          <w:rFonts w:ascii="Arial" w:hAnsi="Arial" w:cs="Arial"/>
          <w:sz w:val="22"/>
          <w:szCs w:val="22"/>
        </w:rPr>
        <w:t>dissolve</w:t>
      </w:r>
      <w:r w:rsidRPr="00501C8E">
        <w:rPr>
          <w:rFonts w:ascii="Arial" w:hAnsi="Arial" w:cs="Arial"/>
          <w:sz w:val="22"/>
          <w:szCs w:val="22"/>
        </w:rPr>
        <w:t xml:space="preserve"> a pool and create a new pool for 2017/18 </w:t>
      </w:r>
      <w:r w:rsidR="004431BC" w:rsidRPr="00501C8E">
        <w:rPr>
          <w:rFonts w:ascii="Arial" w:hAnsi="Arial" w:cs="Arial"/>
          <w:sz w:val="22"/>
          <w:szCs w:val="22"/>
        </w:rPr>
        <w:t>was</w:t>
      </w:r>
      <w:r w:rsidRPr="00501C8E">
        <w:rPr>
          <w:rFonts w:ascii="Arial" w:hAnsi="Arial" w:cs="Arial"/>
          <w:sz w:val="22"/>
          <w:szCs w:val="22"/>
        </w:rPr>
        <w:t xml:space="preserve"> in October 2016. Surrey Treasurers and LB Croydon met on 21 October and the </w:t>
      </w:r>
      <w:r w:rsidR="00FC5C2D" w:rsidRPr="00501C8E">
        <w:rPr>
          <w:rFonts w:ascii="Arial" w:hAnsi="Arial" w:cs="Arial"/>
          <w:sz w:val="22"/>
          <w:szCs w:val="22"/>
        </w:rPr>
        <w:t>make-up</w:t>
      </w:r>
      <w:r w:rsidR="004431BC" w:rsidRPr="00501C8E">
        <w:rPr>
          <w:rFonts w:ascii="Arial" w:hAnsi="Arial" w:cs="Arial"/>
          <w:sz w:val="22"/>
          <w:szCs w:val="22"/>
        </w:rPr>
        <w:t xml:space="preserve"> of the new pool is as follows:</w:t>
      </w:r>
    </w:p>
    <w:p w:rsidR="00733787" w:rsidRPr="00501C8E" w:rsidRDefault="00D00B32" w:rsidP="00F21659">
      <w:pPr>
        <w:tabs>
          <w:tab w:val="left" w:pos="720"/>
        </w:tabs>
        <w:ind w:left="720" w:hanging="720"/>
        <w:rPr>
          <w:rFonts w:ascii="Arial" w:hAnsi="Arial" w:cs="Arial"/>
          <w:sz w:val="22"/>
          <w:szCs w:val="22"/>
        </w:rPr>
      </w:pPr>
      <w:r w:rsidRPr="00501C8E">
        <w:rPr>
          <w:rFonts w:ascii="Arial" w:hAnsi="Arial" w:cs="Arial"/>
          <w:sz w:val="22"/>
          <w:szCs w:val="22"/>
        </w:rPr>
        <w:tab/>
      </w:r>
      <w:r w:rsidRPr="00501C8E">
        <w:rPr>
          <w:rFonts w:ascii="Arial" w:hAnsi="Arial" w:cs="Arial"/>
          <w:noProof/>
          <w:sz w:val="22"/>
          <w:szCs w:val="22"/>
          <w:lang w:eastAsia="en-GB"/>
        </w:rPr>
        <w:drawing>
          <wp:inline distT="0" distB="0" distL="0" distR="0" wp14:anchorId="1E77A436" wp14:editId="6EE363A9">
            <wp:extent cx="2781300" cy="2676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2676525"/>
                    </a:xfrm>
                    <a:prstGeom prst="rect">
                      <a:avLst/>
                    </a:prstGeom>
                    <a:noFill/>
                    <a:ln>
                      <a:noFill/>
                    </a:ln>
                  </pic:spPr>
                </pic:pic>
              </a:graphicData>
            </a:graphic>
          </wp:inline>
        </w:drawing>
      </w:r>
    </w:p>
    <w:p w:rsidR="0066799F" w:rsidRPr="00501C8E" w:rsidRDefault="0066799F" w:rsidP="00F21659">
      <w:pPr>
        <w:tabs>
          <w:tab w:val="left" w:pos="720"/>
        </w:tabs>
        <w:ind w:left="720" w:hanging="720"/>
        <w:rPr>
          <w:rFonts w:ascii="Arial" w:hAnsi="Arial" w:cs="Arial"/>
          <w:sz w:val="22"/>
          <w:szCs w:val="22"/>
        </w:rPr>
      </w:pPr>
    </w:p>
    <w:p w:rsidR="00C75B2E" w:rsidRPr="00501C8E" w:rsidRDefault="00636AE6" w:rsidP="00F21659">
      <w:pPr>
        <w:tabs>
          <w:tab w:val="left" w:pos="720"/>
        </w:tabs>
        <w:ind w:left="720" w:hanging="720"/>
        <w:rPr>
          <w:rFonts w:ascii="Arial" w:hAnsi="Arial" w:cs="Arial"/>
          <w:b/>
          <w:sz w:val="22"/>
          <w:szCs w:val="22"/>
          <w:u w:val="single"/>
        </w:rPr>
      </w:pPr>
      <w:r w:rsidRPr="00501C8E">
        <w:rPr>
          <w:rFonts w:ascii="Arial" w:hAnsi="Arial" w:cs="Arial"/>
          <w:b/>
          <w:sz w:val="22"/>
          <w:szCs w:val="22"/>
        </w:rPr>
        <w:t>3</w:t>
      </w:r>
      <w:r w:rsidR="000E39AD" w:rsidRPr="00501C8E">
        <w:rPr>
          <w:rFonts w:ascii="Arial" w:hAnsi="Arial" w:cs="Arial"/>
          <w:b/>
          <w:sz w:val="22"/>
          <w:szCs w:val="22"/>
        </w:rPr>
        <w:tab/>
      </w:r>
      <w:r w:rsidR="00C75B2E" w:rsidRPr="00501C8E">
        <w:rPr>
          <w:rFonts w:ascii="Arial" w:hAnsi="Arial" w:cs="Arial"/>
          <w:b/>
          <w:sz w:val="22"/>
          <w:szCs w:val="22"/>
          <w:u w:val="single"/>
        </w:rPr>
        <w:t>Housing Revenue Account</w:t>
      </w:r>
      <w:r w:rsidR="00AA4C0D" w:rsidRPr="00501C8E">
        <w:rPr>
          <w:rFonts w:ascii="Arial" w:hAnsi="Arial" w:cs="Arial"/>
          <w:b/>
          <w:sz w:val="22"/>
          <w:szCs w:val="22"/>
          <w:u w:val="single"/>
        </w:rPr>
        <w:t xml:space="preserve"> (HRA)</w:t>
      </w:r>
    </w:p>
    <w:p w:rsidR="00C75B2E" w:rsidRPr="00501C8E" w:rsidRDefault="00C75B2E" w:rsidP="00F21659">
      <w:pPr>
        <w:tabs>
          <w:tab w:val="left" w:pos="720"/>
        </w:tabs>
        <w:ind w:left="720" w:hanging="720"/>
        <w:rPr>
          <w:rFonts w:ascii="Arial" w:hAnsi="Arial" w:cs="Arial"/>
          <w:sz w:val="22"/>
          <w:szCs w:val="22"/>
          <w:u w:val="single"/>
        </w:rPr>
      </w:pPr>
    </w:p>
    <w:p w:rsidR="006253AE" w:rsidRPr="00501C8E" w:rsidRDefault="00636AE6" w:rsidP="006253AE">
      <w:pPr>
        <w:tabs>
          <w:tab w:val="left" w:pos="720"/>
        </w:tabs>
        <w:ind w:left="720" w:hanging="720"/>
        <w:rPr>
          <w:rFonts w:ascii="Arial" w:hAnsi="Arial" w:cs="Arial"/>
          <w:sz w:val="22"/>
          <w:szCs w:val="22"/>
        </w:rPr>
      </w:pPr>
      <w:r w:rsidRPr="00501C8E">
        <w:rPr>
          <w:rFonts w:ascii="Arial" w:hAnsi="Arial" w:cs="Arial"/>
          <w:sz w:val="22"/>
          <w:szCs w:val="22"/>
        </w:rPr>
        <w:t>3</w:t>
      </w:r>
      <w:r w:rsidR="006253AE" w:rsidRPr="00501C8E">
        <w:rPr>
          <w:rFonts w:ascii="Arial" w:hAnsi="Arial" w:cs="Arial"/>
          <w:sz w:val="22"/>
          <w:szCs w:val="22"/>
        </w:rPr>
        <w:t>.</w:t>
      </w:r>
      <w:r w:rsidRPr="00501C8E">
        <w:rPr>
          <w:rFonts w:ascii="Arial" w:hAnsi="Arial" w:cs="Arial"/>
          <w:sz w:val="22"/>
          <w:szCs w:val="22"/>
        </w:rPr>
        <w:t>1</w:t>
      </w:r>
      <w:r w:rsidR="006253AE" w:rsidRPr="00501C8E">
        <w:rPr>
          <w:rFonts w:ascii="Arial" w:hAnsi="Arial" w:cs="Arial"/>
          <w:sz w:val="22"/>
          <w:szCs w:val="22"/>
        </w:rPr>
        <w:tab/>
        <w:t>The detailed Housing Revenue Account budget for 201</w:t>
      </w:r>
      <w:r w:rsidR="00481FCD" w:rsidRPr="00501C8E">
        <w:rPr>
          <w:rFonts w:ascii="Arial" w:hAnsi="Arial" w:cs="Arial"/>
          <w:sz w:val="22"/>
          <w:szCs w:val="22"/>
        </w:rPr>
        <w:t>6</w:t>
      </w:r>
      <w:r w:rsidR="006253AE" w:rsidRPr="00501C8E">
        <w:rPr>
          <w:rFonts w:ascii="Arial" w:hAnsi="Arial" w:cs="Arial"/>
          <w:sz w:val="22"/>
          <w:szCs w:val="22"/>
        </w:rPr>
        <w:t>/1</w:t>
      </w:r>
      <w:r w:rsidR="00481FCD" w:rsidRPr="00501C8E">
        <w:rPr>
          <w:rFonts w:ascii="Arial" w:hAnsi="Arial" w:cs="Arial"/>
          <w:sz w:val="22"/>
          <w:szCs w:val="22"/>
        </w:rPr>
        <w:t>7</w:t>
      </w:r>
      <w:r w:rsidR="006253AE" w:rsidRPr="00501C8E">
        <w:rPr>
          <w:rFonts w:ascii="Arial" w:hAnsi="Arial" w:cs="Arial"/>
          <w:sz w:val="22"/>
          <w:szCs w:val="22"/>
        </w:rPr>
        <w:t xml:space="preserve"> was approved</w:t>
      </w:r>
      <w:r w:rsidR="00AA4C0D" w:rsidRPr="00501C8E">
        <w:rPr>
          <w:rFonts w:ascii="Arial" w:hAnsi="Arial" w:cs="Arial"/>
          <w:sz w:val="22"/>
          <w:szCs w:val="22"/>
        </w:rPr>
        <w:t xml:space="preserve"> by</w:t>
      </w:r>
      <w:r w:rsidR="006253AE" w:rsidRPr="00501C8E">
        <w:rPr>
          <w:rFonts w:ascii="Arial" w:hAnsi="Arial" w:cs="Arial"/>
          <w:sz w:val="22"/>
          <w:szCs w:val="22"/>
        </w:rPr>
        <w:t xml:space="preserve"> </w:t>
      </w:r>
      <w:r w:rsidR="00455FD7">
        <w:rPr>
          <w:rFonts w:ascii="Arial" w:hAnsi="Arial" w:cs="Arial"/>
          <w:sz w:val="22"/>
          <w:szCs w:val="22"/>
        </w:rPr>
        <w:t xml:space="preserve">Housing Committee </w:t>
      </w:r>
      <w:r w:rsidR="006253AE" w:rsidRPr="00501C8E">
        <w:rPr>
          <w:rFonts w:ascii="Arial" w:hAnsi="Arial" w:cs="Arial"/>
          <w:sz w:val="22"/>
          <w:szCs w:val="22"/>
        </w:rPr>
        <w:t>in February 201</w:t>
      </w:r>
      <w:r w:rsidR="00481FCD" w:rsidRPr="00501C8E">
        <w:rPr>
          <w:rFonts w:ascii="Arial" w:hAnsi="Arial" w:cs="Arial"/>
          <w:sz w:val="22"/>
          <w:szCs w:val="22"/>
        </w:rPr>
        <w:t>6</w:t>
      </w:r>
      <w:r w:rsidR="00AA4C0D" w:rsidRPr="00501C8E">
        <w:rPr>
          <w:rFonts w:ascii="Arial" w:hAnsi="Arial" w:cs="Arial"/>
          <w:sz w:val="22"/>
          <w:szCs w:val="22"/>
        </w:rPr>
        <w:t xml:space="preserve"> showing a surplus for the year of £3.681m</w:t>
      </w:r>
      <w:r w:rsidR="006253AE" w:rsidRPr="00501C8E">
        <w:rPr>
          <w:rFonts w:ascii="Arial" w:hAnsi="Arial" w:cs="Arial"/>
          <w:sz w:val="22"/>
          <w:szCs w:val="22"/>
        </w:rPr>
        <w:t>.</w:t>
      </w:r>
      <w:r w:rsidR="00AA4C0D" w:rsidRPr="00501C8E">
        <w:rPr>
          <w:rFonts w:ascii="Arial" w:hAnsi="Arial" w:cs="Arial"/>
          <w:sz w:val="22"/>
          <w:szCs w:val="22"/>
        </w:rPr>
        <w:t xml:space="preserve">  </w:t>
      </w:r>
      <w:r w:rsidR="006253AE" w:rsidRPr="00501C8E">
        <w:rPr>
          <w:rFonts w:ascii="Arial" w:hAnsi="Arial" w:cs="Arial"/>
          <w:sz w:val="22"/>
          <w:szCs w:val="22"/>
        </w:rPr>
        <w:t xml:space="preserve"> </w:t>
      </w:r>
      <w:r w:rsidR="00AA4C0D" w:rsidRPr="00501C8E">
        <w:rPr>
          <w:rFonts w:ascii="Arial" w:hAnsi="Arial" w:cs="Arial"/>
          <w:sz w:val="22"/>
          <w:szCs w:val="22"/>
        </w:rPr>
        <w:t>The projected year-end surplus for the HRA is now expected to be £</w:t>
      </w:r>
      <w:r w:rsidR="005A142D" w:rsidRPr="00501C8E">
        <w:rPr>
          <w:rFonts w:ascii="Arial" w:hAnsi="Arial" w:cs="Arial"/>
          <w:sz w:val="22"/>
          <w:szCs w:val="22"/>
        </w:rPr>
        <w:t>4.437</w:t>
      </w:r>
      <w:r w:rsidR="00AA4C0D" w:rsidRPr="00501C8E">
        <w:rPr>
          <w:rFonts w:ascii="Arial" w:hAnsi="Arial" w:cs="Arial"/>
          <w:sz w:val="22"/>
          <w:szCs w:val="22"/>
        </w:rPr>
        <w:t xml:space="preserve">m </w:t>
      </w:r>
      <w:r w:rsidR="0054008A" w:rsidRPr="00501C8E">
        <w:rPr>
          <w:rFonts w:ascii="Arial" w:hAnsi="Arial" w:cs="Arial"/>
          <w:sz w:val="22"/>
          <w:szCs w:val="22"/>
        </w:rPr>
        <w:t>a</w:t>
      </w:r>
      <w:r w:rsidR="005A142D" w:rsidRPr="00501C8E">
        <w:rPr>
          <w:rFonts w:ascii="Arial" w:hAnsi="Arial" w:cs="Arial"/>
          <w:sz w:val="22"/>
          <w:szCs w:val="22"/>
        </w:rPr>
        <w:t>n increase</w:t>
      </w:r>
      <w:r w:rsidR="00390296" w:rsidRPr="00501C8E">
        <w:rPr>
          <w:rFonts w:ascii="Arial" w:hAnsi="Arial" w:cs="Arial"/>
          <w:sz w:val="22"/>
          <w:szCs w:val="22"/>
        </w:rPr>
        <w:t xml:space="preserve"> of £</w:t>
      </w:r>
      <w:r w:rsidR="005A142D" w:rsidRPr="00501C8E">
        <w:rPr>
          <w:rFonts w:ascii="Arial" w:hAnsi="Arial" w:cs="Arial"/>
          <w:sz w:val="22"/>
          <w:szCs w:val="22"/>
        </w:rPr>
        <w:t>0.756</w:t>
      </w:r>
      <w:r w:rsidR="00390296" w:rsidRPr="00501C8E">
        <w:rPr>
          <w:rFonts w:ascii="Arial" w:hAnsi="Arial" w:cs="Arial"/>
          <w:sz w:val="22"/>
          <w:szCs w:val="22"/>
        </w:rPr>
        <w:t xml:space="preserve">m. The more significant variances are listed in table </w:t>
      </w:r>
      <w:r w:rsidR="006F165A" w:rsidRPr="00501C8E">
        <w:rPr>
          <w:rFonts w:ascii="Arial" w:hAnsi="Arial" w:cs="Arial"/>
          <w:sz w:val="22"/>
          <w:szCs w:val="22"/>
        </w:rPr>
        <w:t>11</w:t>
      </w:r>
      <w:r w:rsidR="00390296" w:rsidRPr="00501C8E">
        <w:rPr>
          <w:rFonts w:ascii="Arial" w:hAnsi="Arial" w:cs="Arial"/>
          <w:sz w:val="22"/>
          <w:szCs w:val="22"/>
        </w:rPr>
        <w:t xml:space="preserve"> below:</w:t>
      </w:r>
    </w:p>
    <w:p w:rsidR="006253AE" w:rsidRPr="00501C8E" w:rsidRDefault="00390296" w:rsidP="00390296">
      <w:pPr>
        <w:tabs>
          <w:tab w:val="left" w:pos="6465"/>
        </w:tabs>
        <w:ind w:left="720" w:hanging="720"/>
        <w:rPr>
          <w:rFonts w:ascii="Arial" w:hAnsi="Arial" w:cs="Arial"/>
          <w:sz w:val="22"/>
          <w:szCs w:val="22"/>
        </w:rPr>
      </w:pPr>
      <w:r w:rsidRPr="00501C8E">
        <w:rPr>
          <w:rFonts w:ascii="Arial" w:hAnsi="Arial" w:cs="Arial"/>
          <w:sz w:val="22"/>
          <w:szCs w:val="22"/>
        </w:rPr>
        <w:tab/>
      </w:r>
      <w:r w:rsidRPr="00501C8E">
        <w:rPr>
          <w:rFonts w:ascii="Arial" w:hAnsi="Arial" w:cs="Arial"/>
          <w:sz w:val="22"/>
          <w:szCs w:val="22"/>
        </w:rPr>
        <w:tab/>
      </w:r>
    </w:p>
    <w:tbl>
      <w:tblPr>
        <w:tblW w:w="8211"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651"/>
        <w:gridCol w:w="1560"/>
      </w:tblGrid>
      <w:tr w:rsidR="00390296" w:rsidRPr="00501C8E" w:rsidTr="00390296">
        <w:trPr>
          <w:trHeight w:val="255"/>
        </w:trPr>
        <w:tc>
          <w:tcPr>
            <w:tcW w:w="8211" w:type="dxa"/>
            <w:gridSpan w:val="2"/>
            <w:tcBorders>
              <w:top w:val="dotted" w:sz="4" w:space="0" w:color="auto"/>
              <w:left w:val="dotted" w:sz="4" w:space="0" w:color="auto"/>
              <w:bottom w:val="dotted" w:sz="4" w:space="0" w:color="auto"/>
              <w:right w:val="dotted" w:sz="4" w:space="0" w:color="auto"/>
            </w:tcBorders>
            <w:shd w:val="clear" w:color="auto" w:fill="BFBFBF" w:themeFill="background1" w:themeFillShade="BF"/>
            <w:noWrap/>
            <w:vAlign w:val="bottom"/>
          </w:tcPr>
          <w:p w:rsidR="00390296" w:rsidRPr="00501C8E" w:rsidRDefault="00390296" w:rsidP="006F165A">
            <w:pPr>
              <w:jc w:val="center"/>
              <w:rPr>
                <w:rFonts w:ascii="Arial" w:hAnsi="Arial" w:cs="Arial"/>
                <w:b/>
                <w:sz w:val="22"/>
                <w:szCs w:val="22"/>
                <w:lang w:eastAsia="en-GB"/>
              </w:rPr>
            </w:pPr>
            <w:r w:rsidRPr="00501C8E">
              <w:rPr>
                <w:rFonts w:ascii="Arial" w:hAnsi="Arial" w:cs="Arial"/>
                <w:b/>
                <w:sz w:val="22"/>
                <w:szCs w:val="22"/>
                <w:lang w:eastAsia="en-GB"/>
              </w:rPr>
              <w:t>Tabl</w:t>
            </w:r>
            <w:r w:rsidRPr="00501C8E">
              <w:rPr>
                <w:rFonts w:ascii="Arial" w:hAnsi="Arial" w:cs="Arial"/>
                <w:b/>
                <w:sz w:val="22"/>
                <w:szCs w:val="22"/>
                <w:shd w:val="clear" w:color="auto" w:fill="BFBFBF" w:themeFill="background1" w:themeFillShade="BF"/>
                <w:lang w:eastAsia="en-GB"/>
              </w:rPr>
              <w:t xml:space="preserve">e </w:t>
            </w:r>
            <w:r w:rsidR="006F165A" w:rsidRPr="00501C8E">
              <w:rPr>
                <w:rFonts w:ascii="Arial" w:hAnsi="Arial" w:cs="Arial"/>
                <w:b/>
                <w:sz w:val="22"/>
                <w:szCs w:val="22"/>
                <w:shd w:val="clear" w:color="auto" w:fill="BFBFBF" w:themeFill="background1" w:themeFillShade="BF"/>
                <w:lang w:eastAsia="en-GB"/>
              </w:rPr>
              <w:t>11</w:t>
            </w:r>
            <w:r w:rsidRPr="00501C8E">
              <w:rPr>
                <w:rFonts w:ascii="Arial" w:hAnsi="Arial" w:cs="Arial"/>
                <w:b/>
                <w:sz w:val="22"/>
                <w:szCs w:val="22"/>
                <w:shd w:val="clear" w:color="auto" w:fill="BFBFBF" w:themeFill="background1" w:themeFillShade="BF"/>
                <w:lang w:eastAsia="en-GB"/>
              </w:rPr>
              <w:t xml:space="preserve"> – Predicted HRA surplus for 2016/17</w:t>
            </w:r>
          </w:p>
        </w:tc>
      </w:tr>
      <w:tr w:rsidR="00B64079" w:rsidRPr="00501C8E" w:rsidTr="00B64079">
        <w:trPr>
          <w:trHeight w:val="255"/>
        </w:trPr>
        <w:tc>
          <w:tcPr>
            <w:tcW w:w="6651" w:type="dxa"/>
            <w:shd w:val="clear" w:color="auto" w:fill="auto"/>
            <w:noWrap/>
            <w:vAlign w:val="bottom"/>
          </w:tcPr>
          <w:p w:rsidR="00B64079" w:rsidRPr="00501C8E" w:rsidRDefault="00B64079" w:rsidP="00AB06DC">
            <w:pPr>
              <w:tabs>
                <w:tab w:val="left" w:pos="522"/>
              </w:tabs>
              <w:ind w:left="162"/>
              <w:rPr>
                <w:rStyle w:val="endsenrhsennumparatext"/>
                <w:rFonts w:ascii="Arial" w:hAnsi="Arial" w:cs="Arial"/>
                <w:b/>
                <w:sz w:val="22"/>
                <w:szCs w:val="22"/>
                <w:lang w:val="en"/>
              </w:rPr>
            </w:pPr>
          </w:p>
        </w:tc>
        <w:tc>
          <w:tcPr>
            <w:tcW w:w="1560" w:type="dxa"/>
            <w:shd w:val="clear" w:color="auto" w:fill="auto"/>
            <w:noWrap/>
          </w:tcPr>
          <w:p w:rsidR="00B64079" w:rsidRPr="00501C8E" w:rsidRDefault="00B64079" w:rsidP="00AB06DC">
            <w:pPr>
              <w:jc w:val="center"/>
              <w:rPr>
                <w:rFonts w:ascii="Arial" w:hAnsi="Arial" w:cs="Arial"/>
                <w:b/>
                <w:sz w:val="22"/>
                <w:szCs w:val="22"/>
                <w:lang w:eastAsia="en-GB"/>
              </w:rPr>
            </w:pPr>
            <w:r w:rsidRPr="00501C8E">
              <w:rPr>
                <w:rFonts w:ascii="Arial" w:hAnsi="Arial" w:cs="Arial"/>
                <w:b/>
                <w:sz w:val="22"/>
                <w:szCs w:val="22"/>
                <w:lang w:eastAsia="en-GB"/>
              </w:rPr>
              <w:t>201</w:t>
            </w:r>
            <w:r w:rsidR="00481FCD" w:rsidRPr="00501C8E">
              <w:rPr>
                <w:rFonts w:ascii="Arial" w:hAnsi="Arial" w:cs="Arial"/>
                <w:b/>
                <w:sz w:val="22"/>
                <w:szCs w:val="22"/>
                <w:lang w:eastAsia="en-GB"/>
              </w:rPr>
              <w:t>6</w:t>
            </w:r>
            <w:r w:rsidRPr="00501C8E">
              <w:rPr>
                <w:rFonts w:ascii="Arial" w:hAnsi="Arial" w:cs="Arial"/>
                <w:b/>
                <w:sz w:val="22"/>
                <w:szCs w:val="22"/>
                <w:lang w:eastAsia="en-GB"/>
              </w:rPr>
              <w:t>/1</w:t>
            </w:r>
            <w:r w:rsidR="00481FCD" w:rsidRPr="00501C8E">
              <w:rPr>
                <w:rFonts w:ascii="Arial" w:hAnsi="Arial" w:cs="Arial"/>
                <w:b/>
                <w:sz w:val="22"/>
                <w:szCs w:val="22"/>
                <w:lang w:eastAsia="en-GB"/>
              </w:rPr>
              <w:t>7</w:t>
            </w:r>
          </w:p>
          <w:p w:rsidR="00B64079" w:rsidRPr="00501C8E" w:rsidRDefault="00B64079" w:rsidP="00AB06DC">
            <w:pPr>
              <w:jc w:val="center"/>
              <w:rPr>
                <w:rFonts w:ascii="Arial" w:hAnsi="Arial" w:cs="Arial"/>
                <w:sz w:val="22"/>
                <w:szCs w:val="22"/>
              </w:rPr>
            </w:pPr>
            <w:r w:rsidRPr="00501C8E">
              <w:rPr>
                <w:rFonts w:ascii="Arial" w:hAnsi="Arial" w:cs="Arial"/>
                <w:b/>
                <w:sz w:val="22"/>
                <w:szCs w:val="22"/>
                <w:lang w:eastAsia="en-GB"/>
              </w:rPr>
              <w:t>£’000</w:t>
            </w:r>
          </w:p>
        </w:tc>
      </w:tr>
      <w:tr w:rsidR="00B64079" w:rsidRPr="00501C8E" w:rsidTr="00B64079">
        <w:trPr>
          <w:trHeight w:val="255"/>
        </w:trPr>
        <w:tc>
          <w:tcPr>
            <w:tcW w:w="6651" w:type="dxa"/>
            <w:shd w:val="clear" w:color="auto" w:fill="auto"/>
            <w:noWrap/>
            <w:vAlign w:val="bottom"/>
          </w:tcPr>
          <w:p w:rsidR="00B64079" w:rsidRPr="00501C8E" w:rsidRDefault="00390296" w:rsidP="00743928">
            <w:pPr>
              <w:tabs>
                <w:tab w:val="left" w:pos="522"/>
              </w:tabs>
              <w:ind w:left="162"/>
              <w:rPr>
                <w:rStyle w:val="endsenrhsennumparatext"/>
                <w:rFonts w:ascii="Arial" w:hAnsi="Arial" w:cs="Arial"/>
                <w:b/>
                <w:sz w:val="22"/>
                <w:szCs w:val="22"/>
                <w:lang w:val="en"/>
              </w:rPr>
            </w:pPr>
            <w:r w:rsidRPr="00501C8E">
              <w:rPr>
                <w:rStyle w:val="endsenrhsennumparatext"/>
                <w:rFonts w:ascii="Arial" w:hAnsi="Arial" w:cs="Arial"/>
                <w:b/>
                <w:sz w:val="22"/>
                <w:szCs w:val="22"/>
                <w:lang w:val="en"/>
              </w:rPr>
              <w:t xml:space="preserve">Original </w:t>
            </w:r>
            <w:r w:rsidR="00B64079" w:rsidRPr="00501C8E">
              <w:rPr>
                <w:rStyle w:val="endsenrhsennumparatext"/>
                <w:rFonts w:ascii="Arial" w:hAnsi="Arial" w:cs="Arial"/>
                <w:b/>
                <w:sz w:val="22"/>
                <w:szCs w:val="22"/>
                <w:lang w:val="en"/>
              </w:rPr>
              <w:t>(Surplus) / Deficit in the year:</w:t>
            </w:r>
          </w:p>
        </w:tc>
        <w:tc>
          <w:tcPr>
            <w:tcW w:w="1560" w:type="dxa"/>
            <w:shd w:val="clear" w:color="auto" w:fill="auto"/>
            <w:noWrap/>
          </w:tcPr>
          <w:p w:rsidR="00B64079" w:rsidRPr="00501C8E" w:rsidRDefault="00B64079" w:rsidP="00AA4C0D">
            <w:pPr>
              <w:jc w:val="right"/>
              <w:rPr>
                <w:rFonts w:ascii="Arial" w:hAnsi="Arial" w:cs="Arial"/>
                <w:b/>
                <w:sz w:val="22"/>
                <w:szCs w:val="22"/>
                <w:highlight w:val="yellow"/>
                <w:lang w:eastAsia="en-GB"/>
              </w:rPr>
            </w:pPr>
            <w:r w:rsidRPr="00501C8E">
              <w:rPr>
                <w:rFonts w:ascii="Arial" w:hAnsi="Arial" w:cs="Arial"/>
                <w:b/>
                <w:sz w:val="22"/>
                <w:szCs w:val="22"/>
                <w:lang w:eastAsia="en-GB"/>
              </w:rPr>
              <w:t>(3,</w:t>
            </w:r>
            <w:r w:rsidR="00AA4C0D" w:rsidRPr="00501C8E">
              <w:rPr>
                <w:rFonts w:ascii="Arial" w:hAnsi="Arial" w:cs="Arial"/>
                <w:b/>
                <w:sz w:val="22"/>
                <w:szCs w:val="22"/>
                <w:lang w:eastAsia="en-GB"/>
              </w:rPr>
              <w:t>681</w:t>
            </w:r>
            <w:r w:rsidRPr="00501C8E">
              <w:rPr>
                <w:rFonts w:ascii="Arial" w:hAnsi="Arial" w:cs="Arial"/>
                <w:b/>
                <w:sz w:val="22"/>
                <w:szCs w:val="22"/>
                <w:lang w:eastAsia="en-GB"/>
              </w:rPr>
              <w:t>)</w:t>
            </w:r>
          </w:p>
        </w:tc>
      </w:tr>
      <w:tr w:rsidR="00B64079" w:rsidRPr="00501C8E" w:rsidTr="00B64079">
        <w:trPr>
          <w:trHeight w:val="255"/>
        </w:trPr>
        <w:tc>
          <w:tcPr>
            <w:tcW w:w="6651" w:type="dxa"/>
            <w:shd w:val="clear" w:color="auto" w:fill="auto"/>
            <w:noWrap/>
            <w:vAlign w:val="bottom"/>
          </w:tcPr>
          <w:p w:rsidR="00B64079" w:rsidRPr="00501C8E" w:rsidRDefault="00B64079" w:rsidP="00481FCD">
            <w:pPr>
              <w:tabs>
                <w:tab w:val="left" w:pos="522"/>
              </w:tabs>
              <w:ind w:left="162"/>
              <w:rPr>
                <w:rStyle w:val="endsenrhsennumparatext"/>
                <w:rFonts w:ascii="Arial" w:hAnsi="Arial" w:cs="Arial"/>
                <w:sz w:val="22"/>
                <w:szCs w:val="22"/>
                <w:lang w:val="en"/>
              </w:rPr>
            </w:pPr>
          </w:p>
        </w:tc>
        <w:tc>
          <w:tcPr>
            <w:tcW w:w="1560" w:type="dxa"/>
            <w:shd w:val="clear" w:color="auto" w:fill="auto"/>
            <w:noWrap/>
          </w:tcPr>
          <w:p w:rsidR="00B64079" w:rsidRPr="00501C8E" w:rsidRDefault="00B64079" w:rsidP="00AB06DC">
            <w:pPr>
              <w:jc w:val="right"/>
              <w:rPr>
                <w:rFonts w:ascii="Arial" w:hAnsi="Arial" w:cs="Arial"/>
                <w:sz w:val="22"/>
                <w:szCs w:val="22"/>
                <w:highlight w:val="yellow"/>
                <w:lang w:eastAsia="en-GB"/>
              </w:rPr>
            </w:pPr>
          </w:p>
        </w:tc>
      </w:tr>
      <w:tr w:rsidR="00390296" w:rsidRPr="00501C8E" w:rsidTr="00B64079">
        <w:trPr>
          <w:trHeight w:val="255"/>
        </w:trPr>
        <w:tc>
          <w:tcPr>
            <w:tcW w:w="6651" w:type="dxa"/>
            <w:tcBorders>
              <w:bottom w:val="dotted" w:sz="4" w:space="0" w:color="auto"/>
            </w:tcBorders>
            <w:shd w:val="clear" w:color="auto" w:fill="auto"/>
            <w:noWrap/>
            <w:vAlign w:val="bottom"/>
          </w:tcPr>
          <w:p w:rsidR="00390296" w:rsidRPr="00501C8E" w:rsidRDefault="00390296" w:rsidP="007A438E">
            <w:pPr>
              <w:tabs>
                <w:tab w:val="left" w:pos="522"/>
              </w:tabs>
              <w:ind w:left="162"/>
              <w:rPr>
                <w:rStyle w:val="endsenrhsennumparatext"/>
                <w:rFonts w:ascii="Arial" w:hAnsi="Arial" w:cs="Arial"/>
                <w:b/>
                <w:sz w:val="22"/>
                <w:szCs w:val="22"/>
                <w:lang w:val="en"/>
              </w:rPr>
            </w:pPr>
            <w:r w:rsidRPr="00501C8E">
              <w:rPr>
                <w:rStyle w:val="endsenrhsennumparatext"/>
                <w:rFonts w:ascii="Arial" w:hAnsi="Arial" w:cs="Arial"/>
                <w:b/>
                <w:sz w:val="22"/>
                <w:szCs w:val="22"/>
                <w:lang w:val="en"/>
              </w:rPr>
              <w:t>General Management</w:t>
            </w:r>
          </w:p>
        </w:tc>
        <w:tc>
          <w:tcPr>
            <w:tcW w:w="1560" w:type="dxa"/>
            <w:tcBorders>
              <w:bottom w:val="dotted" w:sz="4" w:space="0" w:color="auto"/>
            </w:tcBorders>
            <w:shd w:val="clear" w:color="auto" w:fill="auto"/>
            <w:noWrap/>
          </w:tcPr>
          <w:p w:rsidR="00390296" w:rsidRPr="00501C8E" w:rsidRDefault="00390296" w:rsidP="00AB06DC">
            <w:pPr>
              <w:jc w:val="right"/>
              <w:rPr>
                <w:rFonts w:ascii="Arial" w:hAnsi="Arial" w:cs="Arial"/>
                <w:sz w:val="22"/>
                <w:szCs w:val="22"/>
                <w:highlight w:val="yellow"/>
                <w:lang w:eastAsia="en-GB"/>
              </w:rPr>
            </w:pPr>
          </w:p>
        </w:tc>
      </w:tr>
      <w:tr w:rsidR="00390296" w:rsidRPr="00501C8E" w:rsidTr="00B64079">
        <w:trPr>
          <w:trHeight w:val="255"/>
        </w:trPr>
        <w:tc>
          <w:tcPr>
            <w:tcW w:w="66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390296" w:rsidRPr="00501C8E" w:rsidRDefault="00A73350" w:rsidP="00DF4571">
            <w:pPr>
              <w:pStyle w:val="ListParagraph"/>
              <w:numPr>
                <w:ilvl w:val="0"/>
                <w:numId w:val="28"/>
              </w:numPr>
              <w:tabs>
                <w:tab w:val="left" w:pos="522"/>
              </w:tabs>
              <w:ind w:left="590" w:hanging="425"/>
              <w:rPr>
                <w:rStyle w:val="endsenrhsennumparatext"/>
                <w:rFonts w:ascii="Arial" w:hAnsi="Arial" w:cs="Arial"/>
                <w:sz w:val="22"/>
                <w:szCs w:val="22"/>
                <w:lang w:val="en"/>
              </w:rPr>
            </w:pPr>
            <w:r w:rsidRPr="00501C8E">
              <w:rPr>
                <w:rStyle w:val="endsenrhsennumparatext"/>
                <w:rFonts w:ascii="Arial" w:hAnsi="Arial" w:cs="Arial"/>
                <w:sz w:val="22"/>
                <w:szCs w:val="22"/>
                <w:lang w:val="en"/>
              </w:rPr>
              <w:t>Reduction in investment income (see para 2.</w:t>
            </w:r>
            <w:r w:rsidR="00DF4571" w:rsidRPr="00501C8E">
              <w:rPr>
                <w:rStyle w:val="endsenrhsennumparatext"/>
                <w:rFonts w:ascii="Arial" w:hAnsi="Arial" w:cs="Arial"/>
                <w:sz w:val="22"/>
                <w:szCs w:val="22"/>
                <w:lang w:val="en"/>
              </w:rPr>
              <w:t>8</w:t>
            </w:r>
            <w:r w:rsidRPr="00501C8E">
              <w:rPr>
                <w:rStyle w:val="endsenrhsennumparatext"/>
                <w:rFonts w:ascii="Arial" w:hAnsi="Arial" w:cs="Arial"/>
                <w:sz w:val="22"/>
                <w:szCs w:val="22"/>
                <w:lang w:val="en"/>
              </w:rPr>
              <w:t>)</w:t>
            </w:r>
          </w:p>
        </w:tc>
        <w:tc>
          <w:tcPr>
            <w:tcW w:w="1560" w:type="dxa"/>
            <w:tcBorders>
              <w:top w:val="dotted" w:sz="4" w:space="0" w:color="auto"/>
              <w:left w:val="dotted" w:sz="4" w:space="0" w:color="auto"/>
              <w:bottom w:val="dotted" w:sz="4" w:space="0" w:color="auto"/>
              <w:right w:val="dotted" w:sz="4" w:space="0" w:color="auto"/>
            </w:tcBorders>
            <w:shd w:val="clear" w:color="auto" w:fill="auto"/>
            <w:noWrap/>
          </w:tcPr>
          <w:p w:rsidR="00390296" w:rsidRPr="00501C8E" w:rsidRDefault="00684699" w:rsidP="00CA2362">
            <w:pPr>
              <w:jc w:val="right"/>
              <w:rPr>
                <w:rFonts w:ascii="Arial" w:hAnsi="Arial" w:cs="Arial"/>
                <w:sz w:val="22"/>
                <w:szCs w:val="22"/>
                <w:lang w:eastAsia="en-GB"/>
              </w:rPr>
            </w:pPr>
            <w:r w:rsidRPr="00501C8E">
              <w:rPr>
                <w:rFonts w:ascii="Arial" w:hAnsi="Arial" w:cs="Arial"/>
                <w:sz w:val="22"/>
                <w:szCs w:val="22"/>
                <w:lang w:eastAsia="en-GB"/>
              </w:rPr>
              <w:t>89</w:t>
            </w:r>
          </w:p>
        </w:tc>
      </w:tr>
      <w:tr w:rsidR="00390296" w:rsidRPr="00501C8E" w:rsidTr="00B64079">
        <w:trPr>
          <w:trHeight w:val="255"/>
        </w:trPr>
        <w:tc>
          <w:tcPr>
            <w:tcW w:w="66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390296" w:rsidRPr="00501C8E" w:rsidRDefault="00006B17" w:rsidP="007A438E">
            <w:pPr>
              <w:pStyle w:val="ListParagraph"/>
              <w:numPr>
                <w:ilvl w:val="0"/>
                <w:numId w:val="28"/>
              </w:numPr>
              <w:tabs>
                <w:tab w:val="left" w:pos="522"/>
              </w:tabs>
              <w:ind w:left="590" w:hanging="425"/>
              <w:rPr>
                <w:rStyle w:val="endsenrhsennumparatext"/>
                <w:rFonts w:ascii="Arial" w:hAnsi="Arial" w:cs="Arial"/>
                <w:sz w:val="22"/>
                <w:szCs w:val="22"/>
                <w:lang w:val="en"/>
              </w:rPr>
            </w:pPr>
            <w:r w:rsidRPr="00501C8E">
              <w:rPr>
                <w:rFonts w:ascii="Arial" w:hAnsi="Arial" w:cs="Arial"/>
                <w:sz w:val="22"/>
                <w:szCs w:val="22"/>
              </w:rPr>
              <w:t>Estates Improvements – P/U Delay to upgrading Parking arrangements in Pooley Green Close</w:t>
            </w:r>
          </w:p>
        </w:tc>
        <w:tc>
          <w:tcPr>
            <w:tcW w:w="1560" w:type="dxa"/>
            <w:tcBorders>
              <w:top w:val="dotted" w:sz="4" w:space="0" w:color="auto"/>
              <w:left w:val="dotted" w:sz="4" w:space="0" w:color="auto"/>
              <w:bottom w:val="dotted" w:sz="4" w:space="0" w:color="auto"/>
              <w:right w:val="dotted" w:sz="4" w:space="0" w:color="auto"/>
            </w:tcBorders>
            <w:shd w:val="clear" w:color="auto" w:fill="auto"/>
            <w:noWrap/>
          </w:tcPr>
          <w:p w:rsidR="00390296" w:rsidRPr="00501C8E" w:rsidRDefault="00006B17" w:rsidP="00CA2362">
            <w:pPr>
              <w:jc w:val="right"/>
              <w:rPr>
                <w:rFonts w:ascii="Arial" w:hAnsi="Arial" w:cs="Arial"/>
                <w:sz w:val="22"/>
                <w:szCs w:val="22"/>
                <w:lang w:eastAsia="en-GB"/>
              </w:rPr>
            </w:pPr>
            <w:r w:rsidRPr="00501C8E">
              <w:rPr>
                <w:rFonts w:ascii="Arial" w:hAnsi="Arial" w:cs="Arial"/>
                <w:sz w:val="22"/>
                <w:szCs w:val="22"/>
                <w:lang w:eastAsia="en-GB"/>
              </w:rPr>
              <w:t>7</w:t>
            </w:r>
          </w:p>
        </w:tc>
      </w:tr>
      <w:tr w:rsidR="00C83E56" w:rsidRPr="00501C8E" w:rsidTr="00B64079">
        <w:trPr>
          <w:trHeight w:val="255"/>
        </w:trPr>
        <w:tc>
          <w:tcPr>
            <w:tcW w:w="66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C83E56" w:rsidRPr="00501C8E" w:rsidRDefault="00C83E56" w:rsidP="00C83E56">
            <w:pPr>
              <w:pStyle w:val="ListParagraph"/>
              <w:numPr>
                <w:ilvl w:val="0"/>
                <w:numId w:val="28"/>
              </w:numPr>
              <w:tabs>
                <w:tab w:val="left" w:pos="522"/>
              </w:tabs>
              <w:ind w:left="590" w:hanging="425"/>
              <w:rPr>
                <w:rFonts w:ascii="Arial" w:hAnsi="Arial" w:cs="Arial"/>
                <w:sz w:val="22"/>
                <w:szCs w:val="22"/>
              </w:rPr>
            </w:pPr>
            <w:r w:rsidRPr="00501C8E">
              <w:rPr>
                <w:rFonts w:ascii="Arial" w:hAnsi="Arial" w:cs="Arial"/>
                <w:sz w:val="22"/>
                <w:szCs w:val="22"/>
              </w:rPr>
              <w:t>ASBO post – Trial 12 month extension of hours, approved at the September 2016 Housing Committee.</w:t>
            </w:r>
          </w:p>
        </w:tc>
        <w:tc>
          <w:tcPr>
            <w:tcW w:w="1560" w:type="dxa"/>
            <w:tcBorders>
              <w:top w:val="dotted" w:sz="4" w:space="0" w:color="auto"/>
              <w:left w:val="dotted" w:sz="4" w:space="0" w:color="auto"/>
              <w:bottom w:val="dotted" w:sz="4" w:space="0" w:color="auto"/>
              <w:right w:val="dotted" w:sz="4" w:space="0" w:color="auto"/>
            </w:tcBorders>
            <w:shd w:val="clear" w:color="auto" w:fill="auto"/>
            <w:noWrap/>
          </w:tcPr>
          <w:p w:rsidR="00C83E56" w:rsidRPr="00501C8E" w:rsidRDefault="00C83E56" w:rsidP="00CA2362">
            <w:pPr>
              <w:jc w:val="right"/>
              <w:rPr>
                <w:rFonts w:ascii="Arial" w:hAnsi="Arial" w:cs="Arial"/>
                <w:sz w:val="22"/>
                <w:szCs w:val="22"/>
                <w:lang w:eastAsia="en-GB"/>
              </w:rPr>
            </w:pPr>
            <w:r w:rsidRPr="00501C8E">
              <w:rPr>
                <w:rFonts w:ascii="Arial" w:hAnsi="Arial" w:cs="Arial"/>
                <w:sz w:val="22"/>
                <w:szCs w:val="22"/>
                <w:lang w:eastAsia="en-GB"/>
              </w:rPr>
              <w:t>8</w:t>
            </w:r>
          </w:p>
        </w:tc>
      </w:tr>
      <w:tr w:rsidR="005A142D" w:rsidRPr="00501C8E" w:rsidTr="00B64079">
        <w:trPr>
          <w:trHeight w:val="255"/>
        </w:trPr>
        <w:tc>
          <w:tcPr>
            <w:tcW w:w="66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5A142D" w:rsidRPr="00501C8E" w:rsidRDefault="005A142D" w:rsidP="005A142D">
            <w:pPr>
              <w:tabs>
                <w:tab w:val="left" w:pos="522"/>
              </w:tabs>
              <w:ind w:left="165"/>
              <w:rPr>
                <w:rFonts w:ascii="Arial" w:hAnsi="Arial" w:cs="Arial"/>
                <w:b/>
                <w:sz w:val="22"/>
                <w:szCs w:val="22"/>
              </w:rPr>
            </w:pPr>
            <w:r w:rsidRPr="00501C8E">
              <w:rPr>
                <w:rFonts w:ascii="Arial" w:hAnsi="Arial" w:cs="Arial"/>
                <w:b/>
                <w:sz w:val="22"/>
                <w:szCs w:val="22"/>
              </w:rPr>
              <w:t>Major Works</w:t>
            </w:r>
          </w:p>
        </w:tc>
        <w:tc>
          <w:tcPr>
            <w:tcW w:w="1560" w:type="dxa"/>
            <w:tcBorders>
              <w:top w:val="dotted" w:sz="4" w:space="0" w:color="auto"/>
              <w:left w:val="dotted" w:sz="4" w:space="0" w:color="auto"/>
              <w:bottom w:val="dotted" w:sz="4" w:space="0" w:color="auto"/>
              <w:right w:val="dotted" w:sz="4" w:space="0" w:color="auto"/>
            </w:tcBorders>
            <w:shd w:val="clear" w:color="auto" w:fill="auto"/>
            <w:noWrap/>
          </w:tcPr>
          <w:p w:rsidR="005A142D" w:rsidRPr="00501C8E" w:rsidRDefault="005A142D" w:rsidP="00CA2362">
            <w:pPr>
              <w:jc w:val="right"/>
              <w:rPr>
                <w:rFonts w:ascii="Arial" w:hAnsi="Arial" w:cs="Arial"/>
                <w:sz w:val="22"/>
                <w:szCs w:val="22"/>
                <w:lang w:eastAsia="en-GB"/>
              </w:rPr>
            </w:pPr>
          </w:p>
        </w:tc>
      </w:tr>
      <w:tr w:rsidR="00C83E56" w:rsidRPr="00501C8E" w:rsidTr="00B64079">
        <w:trPr>
          <w:trHeight w:val="255"/>
        </w:trPr>
        <w:tc>
          <w:tcPr>
            <w:tcW w:w="66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C83E56" w:rsidRPr="00501C8E" w:rsidRDefault="00C83E56" w:rsidP="00C83E56">
            <w:pPr>
              <w:pStyle w:val="ListParagraph"/>
              <w:numPr>
                <w:ilvl w:val="0"/>
                <w:numId w:val="28"/>
              </w:numPr>
              <w:tabs>
                <w:tab w:val="left" w:pos="522"/>
              </w:tabs>
              <w:ind w:left="590" w:hanging="425"/>
              <w:rPr>
                <w:rFonts w:ascii="Arial" w:hAnsi="Arial" w:cs="Arial"/>
                <w:sz w:val="22"/>
                <w:szCs w:val="22"/>
              </w:rPr>
            </w:pPr>
            <w:r w:rsidRPr="00501C8E">
              <w:rPr>
                <w:rFonts w:ascii="Arial" w:hAnsi="Arial" w:cs="Arial"/>
                <w:sz w:val="22"/>
                <w:szCs w:val="22"/>
              </w:rPr>
              <w:t xml:space="preserve">Slippage in the proposed development of new Council housing on former garage sites. (Costs now deferred to 2017/18) </w:t>
            </w:r>
          </w:p>
        </w:tc>
        <w:tc>
          <w:tcPr>
            <w:tcW w:w="1560" w:type="dxa"/>
            <w:tcBorders>
              <w:top w:val="dotted" w:sz="4" w:space="0" w:color="auto"/>
              <w:left w:val="dotted" w:sz="4" w:space="0" w:color="auto"/>
              <w:bottom w:val="dotted" w:sz="4" w:space="0" w:color="auto"/>
              <w:right w:val="dotted" w:sz="4" w:space="0" w:color="auto"/>
            </w:tcBorders>
            <w:shd w:val="clear" w:color="auto" w:fill="auto"/>
            <w:noWrap/>
          </w:tcPr>
          <w:p w:rsidR="00C83E56" w:rsidRPr="00501C8E" w:rsidRDefault="00C83E56" w:rsidP="00CA2362">
            <w:pPr>
              <w:jc w:val="right"/>
              <w:rPr>
                <w:rFonts w:ascii="Arial" w:hAnsi="Arial" w:cs="Arial"/>
                <w:sz w:val="22"/>
                <w:szCs w:val="22"/>
                <w:lang w:eastAsia="en-GB"/>
              </w:rPr>
            </w:pPr>
            <w:r w:rsidRPr="00501C8E">
              <w:rPr>
                <w:rFonts w:ascii="Arial" w:hAnsi="Arial" w:cs="Arial"/>
                <w:sz w:val="22"/>
                <w:szCs w:val="22"/>
                <w:lang w:eastAsia="en-GB"/>
              </w:rPr>
              <w:t>(860)</w:t>
            </w:r>
          </w:p>
        </w:tc>
      </w:tr>
      <w:tr w:rsidR="00390296" w:rsidRPr="00501C8E" w:rsidTr="00B64079">
        <w:trPr>
          <w:trHeight w:val="255"/>
        </w:trPr>
        <w:tc>
          <w:tcPr>
            <w:tcW w:w="66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390296" w:rsidRPr="00501C8E" w:rsidRDefault="00390296" w:rsidP="00390296">
            <w:pPr>
              <w:pStyle w:val="ListParagraph"/>
              <w:tabs>
                <w:tab w:val="left" w:pos="522"/>
              </w:tabs>
              <w:ind w:left="590"/>
              <w:rPr>
                <w:rStyle w:val="endsenrhsennumparatext"/>
                <w:rFonts w:ascii="Arial" w:hAnsi="Arial" w:cs="Arial"/>
                <w:sz w:val="22"/>
                <w:szCs w:val="22"/>
                <w:lang w:val="en"/>
              </w:rPr>
            </w:pPr>
          </w:p>
        </w:tc>
        <w:tc>
          <w:tcPr>
            <w:tcW w:w="1560" w:type="dxa"/>
            <w:tcBorders>
              <w:top w:val="dotted" w:sz="4" w:space="0" w:color="auto"/>
              <w:left w:val="dotted" w:sz="4" w:space="0" w:color="auto"/>
              <w:bottom w:val="dotted" w:sz="4" w:space="0" w:color="auto"/>
              <w:right w:val="dotted" w:sz="4" w:space="0" w:color="auto"/>
            </w:tcBorders>
            <w:shd w:val="clear" w:color="auto" w:fill="auto"/>
            <w:noWrap/>
          </w:tcPr>
          <w:p w:rsidR="00390296" w:rsidRPr="00501C8E" w:rsidRDefault="00390296" w:rsidP="00CA2362">
            <w:pPr>
              <w:jc w:val="right"/>
              <w:rPr>
                <w:rFonts w:ascii="Arial" w:hAnsi="Arial" w:cs="Arial"/>
                <w:b/>
                <w:sz w:val="22"/>
                <w:szCs w:val="22"/>
                <w:highlight w:val="yellow"/>
                <w:lang w:eastAsia="en-GB"/>
              </w:rPr>
            </w:pPr>
          </w:p>
        </w:tc>
      </w:tr>
      <w:tr w:rsidR="00390296" w:rsidRPr="00501C8E" w:rsidTr="00B64079">
        <w:trPr>
          <w:trHeight w:val="255"/>
        </w:trPr>
        <w:tc>
          <w:tcPr>
            <w:tcW w:w="6651" w:type="dxa"/>
            <w:tcBorders>
              <w:top w:val="dotted" w:sz="4" w:space="0" w:color="auto"/>
              <w:left w:val="dotted" w:sz="4" w:space="0" w:color="auto"/>
              <w:bottom w:val="dotted" w:sz="4" w:space="0" w:color="auto"/>
              <w:right w:val="dotted" w:sz="4" w:space="0" w:color="auto"/>
            </w:tcBorders>
            <w:shd w:val="clear" w:color="auto" w:fill="auto"/>
            <w:noWrap/>
            <w:vAlign w:val="bottom"/>
          </w:tcPr>
          <w:p w:rsidR="00390296" w:rsidRPr="00501C8E" w:rsidRDefault="00390296" w:rsidP="00390296">
            <w:pPr>
              <w:pStyle w:val="ListParagraph"/>
              <w:ind w:left="165"/>
              <w:rPr>
                <w:rStyle w:val="endsenrhsennumparatext"/>
                <w:rFonts w:ascii="Arial" w:hAnsi="Arial" w:cs="Arial"/>
                <w:b/>
                <w:sz w:val="22"/>
                <w:szCs w:val="22"/>
                <w:lang w:val="en"/>
              </w:rPr>
            </w:pPr>
            <w:r w:rsidRPr="00501C8E">
              <w:rPr>
                <w:rStyle w:val="endsenrhsennumparatext"/>
                <w:rFonts w:ascii="Arial" w:hAnsi="Arial" w:cs="Arial"/>
                <w:b/>
                <w:sz w:val="22"/>
                <w:szCs w:val="22"/>
                <w:lang w:val="en"/>
              </w:rPr>
              <w:t>Projected (surplus) / Deficit in the year:</w:t>
            </w:r>
          </w:p>
        </w:tc>
        <w:tc>
          <w:tcPr>
            <w:tcW w:w="1560" w:type="dxa"/>
            <w:tcBorders>
              <w:top w:val="dotted" w:sz="4" w:space="0" w:color="auto"/>
              <w:left w:val="dotted" w:sz="4" w:space="0" w:color="auto"/>
              <w:bottom w:val="dotted" w:sz="4" w:space="0" w:color="auto"/>
              <w:right w:val="dotted" w:sz="4" w:space="0" w:color="auto"/>
            </w:tcBorders>
            <w:shd w:val="clear" w:color="auto" w:fill="auto"/>
            <w:noWrap/>
          </w:tcPr>
          <w:p w:rsidR="00390296" w:rsidRPr="00501C8E" w:rsidRDefault="00390296" w:rsidP="005A142D">
            <w:pPr>
              <w:jc w:val="right"/>
              <w:rPr>
                <w:rFonts w:ascii="Arial" w:hAnsi="Arial" w:cs="Arial"/>
                <w:b/>
                <w:sz w:val="22"/>
                <w:szCs w:val="22"/>
                <w:highlight w:val="yellow"/>
                <w:lang w:eastAsia="en-GB"/>
              </w:rPr>
            </w:pPr>
            <w:r w:rsidRPr="00501C8E">
              <w:rPr>
                <w:rFonts w:ascii="Arial" w:hAnsi="Arial" w:cs="Arial"/>
                <w:b/>
                <w:sz w:val="22"/>
                <w:szCs w:val="22"/>
                <w:lang w:eastAsia="en-GB"/>
              </w:rPr>
              <w:t>(</w:t>
            </w:r>
            <w:r w:rsidR="005A142D" w:rsidRPr="00501C8E">
              <w:rPr>
                <w:rFonts w:ascii="Arial" w:hAnsi="Arial" w:cs="Arial"/>
                <w:b/>
                <w:sz w:val="22"/>
                <w:szCs w:val="22"/>
                <w:lang w:eastAsia="en-GB"/>
              </w:rPr>
              <w:t>4,437</w:t>
            </w:r>
            <w:r w:rsidRPr="00501C8E">
              <w:rPr>
                <w:rFonts w:ascii="Arial" w:hAnsi="Arial" w:cs="Arial"/>
                <w:b/>
                <w:sz w:val="22"/>
                <w:szCs w:val="22"/>
                <w:lang w:eastAsia="en-GB"/>
              </w:rPr>
              <w:t>)</w:t>
            </w:r>
          </w:p>
        </w:tc>
      </w:tr>
    </w:tbl>
    <w:p w:rsidR="00664DF4" w:rsidRPr="00501C8E" w:rsidRDefault="00664DF4" w:rsidP="00F21659">
      <w:pPr>
        <w:tabs>
          <w:tab w:val="left" w:pos="720"/>
        </w:tabs>
        <w:ind w:left="720" w:hanging="720"/>
        <w:rPr>
          <w:rFonts w:ascii="Arial" w:hAnsi="Arial" w:cs="Arial"/>
          <w:sz w:val="22"/>
          <w:szCs w:val="22"/>
          <w:highlight w:val="yellow"/>
        </w:rPr>
      </w:pPr>
    </w:p>
    <w:p w:rsidR="00006B17" w:rsidRPr="00501C8E" w:rsidRDefault="00006B17" w:rsidP="00006B17">
      <w:pPr>
        <w:tabs>
          <w:tab w:val="left" w:pos="720"/>
        </w:tabs>
        <w:ind w:left="720" w:hanging="720"/>
        <w:rPr>
          <w:rFonts w:ascii="Arial" w:hAnsi="Arial" w:cs="Arial"/>
          <w:sz w:val="22"/>
          <w:szCs w:val="22"/>
        </w:rPr>
      </w:pPr>
      <w:r w:rsidRPr="00501C8E">
        <w:rPr>
          <w:rFonts w:ascii="Arial" w:hAnsi="Arial" w:cs="Arial"/>
          <w:sz w:val="22"/>
          <w:szCs w:val="22"/>
        </w:rPr>
        <w:tab/>
        <w:t>Note: P/U = 2015/16 Planned Underspend.  Budget carried forward to be spent in the current year</w:t>
      </w:r>
      <w:r w:rsidRPr="00501C8E">
        <w:rPr>
          <w:rFonts w:ascii="Arial" w:hAnsi="Arial" w:cs="Arial"/>
          <w:sz w:val="22"/>
          <w:szCs w:val="22"/>
        </w:rPr>
        <w:tab/>
      </w:r>
    </w:p>
    <w:p w:rsidR="00006B17" w:rsidRPr="00501C8E" w:rsidRDefault="00006B17" w:rsidP="00F21659">
      <w:pPr>
        <w:tabs>
          <w:tab w:val="left" w:pos="720"/>
        </w:tabs>
        <w:ind w:left="720" w:hanging="720"/>
        <w:rPr>
          <w:rFonts w:ascii="Arial" w:hAnsi="Arial" w:cs="Arial"/>
          <w:sz w:val="22"/>
          <w:szCs w:val="22"/>
          <w:highlight w:val="yellow"/>
        </w:rPr>
      </w:pPr>
    </w:p>
    <w:p w:rsidR="00390296" w:rsidRPr="00501C8E" w:rsidRDefault="00390296" w:rsidP="00390296">
      <w:pPr>
        <w:tabs>
          <w:tab w:val="left" w:pos="720"/>
        </w:tabs>
        <w:ind w:left="709" w:hanging="709"/>
        <w:rPr>
          <w:rFonts w:ascii="Arial" w:hAnsi="Arial" w:cs="Arial"/>
          <w:sz w:val="22"/>
          <w:szCs w:val="22"/>
        </w:rPr>
      </w:pPr>
      <w:r w:rsidRPr="00501C8E">
        <w:rPr>
          <w:rFonts w:ascii="Arial" w:hAnsi="Arial" w:cs="Arial"/>
          <w:sz w:val="22"/>
          <w:szCs w:val="22"/>
        </w:rPr>
        <w:t>3.2</w:t>
      </w:r>
      <w:r w:rsidRPr="00501C8E">
        <w:rPr>
          <w:rFonts w:ascii="Arial" w:hAnsi="Arial" w:cs="Arial"/>
          <w:sz w:val="22"/>
          <w:szCs w:val="22"/>
        </w:rPr>
        <w:tab/>
      </w:r>
      <w:r w:rsidR="00824DED" w:rsidRPr="00501C8E">
        <w:rPr>
          <w:rFonts w:ascii="Arial" w:hAnsi="Arial" w:cs="Arial"/>
          <w:sz w:val="22"/>
          <w:szCs w:val="22"/>
        </w:rPr>
        <w:t>Taking into account the better than expected increase in working balances during 2015/16 of £0.5m, and a</w:t>
      </w:r>
      <w:r w:rsidRPr="00501C8E">
        <w:rPr>
          <w:rFonts w:ascii="Arial" w:hAnsi="Arial" w:cs="Arial"/>
          <w:sz w:val="22"/>
          <w:szCs w:val="22"/>
        </w:rPr>
        <w:t xml:space="preserve">ssuming the predictions for the projected outturn shown in table </w:t>
      </w:r>
      <w:r w:rsidR="00824DED" w:rsidRPr="00501C8E">
        <w:rPr>
          <w:rFonts w:ascii="Arial" w:hAnsi="Arial" w:cs="Arial"/>
          <w:sz w:val="22"/>
          <w:szCs w:val="22"/>
        </w:rPr>
        <w:t>6</w:t>
      </w:r>
      <w:r w:rsidRPr="00501C8E">
        <w:rPr>
          <w:rFonts w:ascii="Arial" w:hAnsi="Arial" w:cs="Arial"/>
          <w:sz w:val="22"/>
          <w:szCs w:val="22"/>
        </w:rPr>
        <w:t xml:space="preserve"> materialise at the year end, this will increase the HRA balance from </w:t>
      </w:r>
      <w:r w:rsidR="00824DED" w:rsidRPr="00501C8E">
        <w:rPr>
          <w:rFonts w:ascii="Arial" w:hAnsi="Arial" w:cs="Arial"/>
          <w:sz w:val="22"/>
          <w:szCs w:val="22"/>
        </w:rPr>
        <w:t xml:space="preserve">the </w:t>
      </w:r>
      <w:r w:rsidR="0054008A" w:rsidRPr="00501C8E">
        <w:rPr>
          <w:rFonts w:ascii="Arial" w:hAnsi="Arial" w:cs="Arial"/>
          <w:sz w:val="22"/>
          <w:szCs w:val="22"/>
        </w:rPr>
        <w:t>opening balance of</w:t>
      </w:r>
      <w:r w:rsidR="00824DED" w:rsidRPr="00501C8E">
        <w:rPr>
          <w:rFonts w:ascii="Arial" w:hAnsi="Arial" w:cs="Arial"/>
          <w:sz w:val="22"/>
          <w:szCs w:val="22"/>
        </w:rPr>
        <w:t xml:space="preserve"> </w:t>
      </w:r>
      <w:r w:rsidRPr="00501C8E">
        <w:rPr>
          <w:rFonts w:ascii="Arial" w:hAnsi="Arial" w:cs="Arial"/>
          <w:sz w:val="22"/>
          <w:szCs w:val="22"/>
        </w:rPr>
        <w:t>£1</w:t>
      </w:r>
      <w:r w:rsidR="0054008A" w:rsidRPr="00501C8E">
        <w:rPr>
          <w:rFonts w:ascii="Arial" w:hAnsi="Arial" w:cs="Arial"/>
          <w:sz w:val="22"/>
          <w:szCs w:val="22"/>
        </w:rPr>
        <w:t>4</w:t>
      </w:r>
      <w:r w:rsidRPr="00501C8E">
        <w:rPr>
          <w:rFonts w:ascii="Arial" w:hAnsi="Arial" w:cs="Arial"/>
          <w:sz w:val="22"/>
          <w:szCs w:val="22"/>
        </w:rPr>
        <w:t>.0</w:t>
      </w:r>
      <w:r w:rsidR="0054008A" w:rsidRPr="00501C8E">
        <w:rPr>
          <w:rFonts w:ascii="Arial" w:hAnsi="Arial" w:cs="Arial"/>
          <w:sz w:val="22"/>
          <w:szCs w:val="22"/>
        </w:rPr>
        <w:t>89</w:t>
      </w:r>
      <w:r w:rsidRPr="00501C8E">
        <w:rPr>
          <w:rFonts w:ascii="Arial" w:hAnsi="Arial" w:cs="Arial"/>
          <w:sz w:val="22"/>
          <w:szCs w:val="22"/>
        </w:rPr>
        <w:t>m to £</w:t>
      </w:r>
      <w:r w:rsidR="005A142D" w:rsidRPr="00501C8E">
        <w:rPr>
          <w:rFonts w:ascii="Arial" w:hAnsi="Arial" w:cs="Arial"/>
          <w:sz w:val="22"/>
          <w:szCs w:val="22"/>
        </w:rPr>
        <w:t>18.526</w:t>
      </w:r>
      <w:r w:rsidRPr="00501C8E">
        <w:rPr>
          <w:rFonts w:ascii="Arial" w:hAnsi="Arial" w:cs="Arial"/>
          <w:sz w:val="22"/>
          <w:szCs w:val="22"/>
        </w:rPr>
        <w:t>m at 31 M</w:t>
      </w:r>
      <w:r w:rsidR="00C83E56" w:rsidRPr="00501C8E">
        <w:rPr>
          <w:rFonts w:ascii="Arial" w:hAnsi="Arial" w:cs="Arial"/>
          <w:sz w:val="22"/>
          <w:szCs w:val="22"/>
        </w:rPr>
        <w:t>arch 2017.</w:t>
      </w:r>
      <w:r w:rsidR="005A142D" w:rsidRPr="00501C8E">
        <w:rPr>
          <w:rFonts w:ascii="Arial" w:hAnsi="Arial" w:cs="Arial"/>
          <w:sz w:val="22"/>
          <w:szCs w:val="22"/>
        </w:rPr>
        <w:t xml:space="preserve"> However it should be noted that the likely costs in 2017/18 will increase by around £0.86m as a consequence of the deferral of the provision of new houses, as detailed in table 6.</w:t>
      </w:r>
      <w:r w:rsidR="00C83E56" w:rsidRPr="00501C8E">
        <w:rPr>
          <w:rFonts w:ascii="Arial" w:hAnsi="Arial" w:cs="Arial"/>
          <w:sz w:val="22"/>
          <w:szCs w:val="22"/>
        </w:rPr>
        <w:t xml:space="preserve"> </w:t>
      </w:r>
    </w:p>
    <w:p w:rsidR="00636AE6" w:rsidRPr="00501C8E" w:rsidRDefault="00636AE6" w:rsidP="00F21659">
      <w:pPr>
        <w:tabs>
          <w:tab w:val="left" w:pos="720"/>
        </w:tabs>
        <w:ind w:left="720" w:hanging="720"/>
        <w:rPr>
          <w:rFonts w:ascii="Arial" w:hAnsi="Arial" w:cs="Arial"/>
          <w:sz w:val="22"/>
          <w:szCs w:val="22"/>
          <w:highlight w:val="yellow"/>
        </w:rPr>
      </w:pPr>
    </w:p>
    <w:p w:rsidR="003A00DC" w:rsidRPr="00501C8E" w:rsidRDefault="003A00DC" w:rsidP="00F21659">
      <w:pPr>
        <w:tabs>
          <w:tab w:val="left" w:pos="720"/>
        </w:tabs>
        <w:ind w:left="720" w:hanging="720"/>
        <w:rPr>
          <w:rFonts w:ascii="Arial" w:hAnsi="Arial" w:cs="Arial"/>
          <w:sz w:val="22"/>
          <w:szCs w:val="22"/>
        </w:rPr>
      </w:pPr>
    </w:p>
    <w:p w:rsidR="00D350B6" w:rsidRPr="00501C8E" w:rsidRDefault="00636AE6" w:rsidP="00F21659">
      <w:pPr>
        <w:tabs>
          <w:tab w:val="left" w:pos="720"/>
        </w:tabs>
        <w:ind w:left="720" w:hanging="720"/>
        <w:rPr>
          <w:rFonts w:ascii="Arial" w:hAnsi="Arial" w:cs="Arial"/>
          <w:b/>
          <w:sz w:val="22"/>
          <w:szCs w:val="22"/>
          <w:u w:val="single"/>
        </w:rPr>
      </w:pPr>
      <w:r w:rsidRPr="00501C8E">
        <w:rPr>
          <w:rFonts w:ascii="Arial" w:hAnsi="Arial" w:cs="Arial"/>
          <w:b/>
          <w:sz w:val="22"/>
          <w:szCs w:val="22"/>
        </w:rPr>
        <w:t>4</w:t>
      </w:r>
      <w:r w:rsidR="00502DD9" w:rsidRPr="00501C8E">
        <w:rPr>
          <w:rFonts w:ascii="Arial" w:hAnsi="Arial" w:cs="Arial"/>
          <w:b/>
          <w:sz w:val="22"/>
          <w:szCs w:val="22"/>
        </w:rPr>
        <w:tab/>
      </w:r>
      <w:r w:rsidR="00D350B6" w:rsidRPr="00501C8E">
        <w:rPr>
          <w:rFonts w:ascii="Arial" w:hAnsi="Arial" w:cs="Arial"/>
          <w:b/>
          <w:sz w:val="22"/>
          <w:szCs w:val="22"/>
          <w:u w:val="single"/>
        </w:rPr>
        <w:t>Capital Expenditure</w:t>
      </w:r>
      <w:r w:rsidR="00AD45F2" w:rsidRPr="00501C8E">
        <w:rPr>
          <w:rFonts w:ascii="Arial" w:hAnsi="Arial" w:cs="Arial"/>
          <w:b/>
          <w:sz w:val="22"/>
          <w:szCs w:val="22"/>
          <w:u w:val="single"/>
        </w:rPr>
        <w:t xml:space="preserve"> and Receipts</w:t>
      </w:r>
    </w:p>
    <w:p w:rsidR="000E55E7" w:rsidRPr="00501C8E" w:rsidRDefault="000E55E7" w:rsidP="00F21659">
      <w:pPr>
        <w:tabs>
          <w:tab w:val="left" w:pos="720"/>
        </w:tabs>
        <w:ind w:left="720" w:hanging="720"/>
        <w:rPr>
          <w:rFonts w:ascii="Arial" w:hAnsi="Arial" w:cs="Arial"/>
          <w:sz w:val="22"/>
          <w:szCs w:val="22"/>
        </w:rPr>
      </w:pPr>
    </w:p>
    <w:p w:rsidR="00A365B4" w:rsidRPr="00501C8E" w:rsidRDefault="00A365B4" w:rsidP="00F21659">
      <w:pPr>
        <w:tabs>
          <w:tab w:val="left" w:pos="720"/>
        </w:tabs>
        <w:ind w:left="720" w:hanging="720"/>
        <w:rPr>
          <w:rFonts w:ascii="Arial" w:hAnsi="Arial" w:cs="Arial"/>
          <w:sz w:val="22"/>
          <w:szCs w:val="22"/>
          <w:u w:val="single"/>
        </w:rPr>
      </w:pPr>
      <w:r w:rsidRPr="00501C8E">
        <w:rPr>
          <w:rFonts w:ascii="Arial" w:hAnsi="Arial" w:cs="Arial"/>
          <w:sz w:val="22"/>
          <w:szCs w:val="22"/>
        </w:rPr>
        <w:tab/>
      </w:r>
      <w:r w:rsidRPr="00501C8E">
        <w:rPr>
          <w:rFonts w:ascii="Arial" w:hAnsi="Arial" w:cs="Arial"/>
          <w:sz w:val="22"/>
          <w:szCs w:val="22"/>
          <w:u w:val="single"/>
        </w:rPr>
        <w:t>Capital expenditure</w:t>
      </w:r>
    </w:p>
    <w:p w:rsidR="00A365B4" w:rsidRPr="00501C8E" w:rsidRDefault="00A365B4" w:rsidP="00F21659">
      <w:pPr>
        <w:tabs>
          <w:tab w:val="left" w:pos="720"/>
        </w:tabs>
        <w:ind w:left="720" w:hanging="720"/>
        <w:rPr>
          <w:rFonts w:ascii="Arial" w:hAnsi="Arial" w:cs="Arial"/>
          <w:sz w:val="22"/>
          <w:szCs w:val="22"/>
        </w:rPr>
      </w:pPr>
    </w:p>
    <w:p w:rsidR="00587456" w:rsidRPr="00501C8E" w:rsidRDefault="00636AE6" w:rsidP="00F21659">
      <w:pPr>
        <w:tabs>
          <w:tab w:val="left" w:pos="720"/>
        </w:tabs>
        <w:ind w:left="720" w:hanging="720"/>
        <w:rPr>
          <w:rFonts w:ascii="Arial" w:hAnsi="Arial" w:cs="Arial"/>
          <w:sz w:val="22"/>
          <w:szCs w:val="22"/>
        </w:rPr>
      </w:pPr>
      <w:r w:rsidRPr="00501C8E">
        <w:rPr>
          <w:rFonts w:ascii="Arial" w:hAnsi="Arial" w:cs="Arial"/>
          <w:sz w:val="22"/>
          <w:szCs w:val="22"/>
        </w:rPr>
        <w:t>4</w:t>
      </w:r>
      <w:r w:rsidR="003027D4" w:rsidRPr="00501C8E">
        <w:rPr>
          <w:rFonts w:ascii="Arial" w:hAnsi="Arial" w:cs="Arial"/>
          <w:sz w:val="22"/>
          <w:szCs w:val="22"/>
        </w:rPr>
        <w:t>.1</w:t>
      </w:r>
      <w:r w:rsidR="003027D4" w:rsidRPr="00501C8E">
        <w:rPr>
          <w:rFonts w:ascii="Arial" w:hAnsi="Arial" w:cs="Arial"/>
          <w:sz w:val="22"/>
          <w:szCs w:val="22"/>
        </w:rPr>
        <w:tab/>
        <w:t xml:space="preserve">The detailed </w:t>
      </w:r>
      <w:r w:rsidR="000C7C59" w:rsidRPr="00501C8E">
        <w:rPr>
          <w:rFonts w:ascii="Arial" w:hAnsi="Arial" w:cs="Arial"/>
          <w:sz w:val="22"/>
          <w:szCs w:val="22"/>
        </w:rPr>
        <w:t>Capital</w:t>
      </w:r>
      <w:r w:rsidR="003027D4" w:rsidRPr="00501C8E">
        <w:rPr>
          <w:rFonts w:ascii="Arial" w:hAnsi="Arial" w:cs="Arial"/>
          <w:sz w:val="22"/>
          <w:szCs w:val="22"/>
        </w:rPr>
        <w:t xml:space="preserve"> budget for 201</w:t>
      </w:r>
      <w:r w:rsidR="0004174F" w:rsidRPr="00501C8E">
        <w:rPr>
          <w:rFonts w:ascii="Arial" w:hAnsi="Arial" w:cs="Arial"/>
          <w:sz w:val="22"/>
          <w:szCs w:val="22"/>
        </w:rPr>
        <w:t>6/17</w:t>
      </w:r>
      <w:r w:rsidR="003027D4" w:rsidRPr="00501C8E">
        <w:rPr>
          <w:rFonts w:ascii="Arial" w:hAnsi="Arial" w:cs="Arial"/>
          <w:sz w:val="22"/>
          <w:szCs w:val="22"/>
        </w:rPr>
        <w:t xml:space="preserve"> was approved in February 201</w:t>
      </w:r>
      <w:r w:rsidR="0004174F" w:rsidRPr="00501C8E">
        <w:rPr>
          <w:rFonts w:ascii="Arial" w:hAnsi="Arial" w:cs="Arial"/>
          <w:sz w:val="22"/>
          <w:szCs w:val="22"/>
        </w:rPr>
        <w:t>6</w:t>
      </w:r>
      <w:r w:rsidR="003027D4" w:rsidRPr="00501C8E">
        <w:rPr>
          <w:rFonts w:ascii="Arial" w:hAnsi="Arial" w:cs="Arial"/>
          <w:sz w:val="22"/>
          <w:szCs w:val="22"/>
        </w:rPr>
        <w:t xml:space="preserve">.  </w:t>
      </w:r>
      <w:r w:rsidR="0092149F" w:rsidRPr="00501C8E">
        <w:rPr>
          <w:rFonts w:ascii="Arial" w:hAnsi="Arial" w:cs="Arial"/>
          <w:sz w:val="22"/>
          <w:szCs w:val="22"/>
        </w:rPr>
        <w:t xml:space="preserve">It is important to remember that the timing of capital expenditure can sometimes be difficult to predict and can be spread over several financial years.  </w:t>
      </w:r>
      <w:r w:rsidR="00430072">
        <w:rPr>
          <w:rFonts w:ascii="Arial" w:hAnsi="Arial" w:cs="Arial"/>
          <w:sz w:val="22"/>
          <w:szCs w:val="22"/>
        </w:rPr>
        <w:t>Exempt Appendix ‘4’ (circulated separately</w:t>
      </w:r>
      <w:r w:rsidR="00E545A7">
        <w:rPr>
          <w:rFonts w:ascii="Arial" w:hAnsi="Arial" w:cs="Arial"/>
          <w:sz w:val="22"/>
          <w:szCs w:val="22"/>
        </w:rPr>
        <w:t>)</w:t>
      </w:r>
      <w:r w:rsidR="00430072">
        <w:rPr>
          <w:rFonts w:ascii="Arial" w:hAnsi="Arial" w:cs="Arial"/>
          <w:sz w:val="22"/>
          <w:szCs w:val="22"/>
        </w:rPr>
        <w:t xml:space="preserve"> </w:t>
      </w:r>
      <w:r w:rsidR="00587456" w:rsidRPr="00501C8E">
        <w:rPr>
          <w:rFonts w:ascii="Arial" w:hAnsi="Arial" w:cs="Arial"/>
          <w:sz w:val="22"/>
          <w:szCs w:val="22"/>
        </w:rPr>
        <w:t xml:space="preserve">summarises </w:t>
      </w:r>
      <w:r w:rsidR="00A37B8A" w:rsidRPr="00501C8E">
        <w:rPr>
          <w:rFonts w:ascii="Arial" w:hAnsi="Arial" w:cs="Arial"/>
          <w:sz w:val="22"/>
          <w:szCs w:val="22"/>
        </w:rPr>
        <w:t xml:space="preserve">the current </w:t>
      </w:r>
      <w:r w:rsidR="00587456" w:rsidRPr="00501C8E">
        <w:rPr>
          <w:rFonts w:ascii="Arial" w:hAnsi="Arial" w:cs="Arial"/>
          <w:sz w:val="22"/>
          <w:szCs w:val="22"/>
        </w:rPr>
        <w:t xml:space="preserve">capital </w:t>
      </w:r>
      <w:r w:rsidR="00A37B8A" w:rsidRPr="00501C8E">
        <w:rPr>
          <w:rFonts w:ascii="Arial" w:hAnsi="Arial" w:cs="Arial"/>
          <w:sz w:val="22"/>
          <w:szCs w:val="22"/>
        </w:rPr>
        <w:t>programme</w:t>
      </w:r>
      <w:r w:rsidR="00587456" w:rsidRPr="00501C8E">
        <w:rPr>
          <w:rFonts w:ascii="Arial" w:hAnsi="Arial" w:cs="Arial"/>
          <w:sz w:val="22"/>
          <w:szCs w:val="22"/>
        </w:rPr>
        <w:t xml:space="preserve"> </w:t>
      </w:r>
      <w:r w:rsidR="0092149F" w:rsidRPr="00501C8E">
        <w:rPr>
          <w:rFonts w:ascii="Arial" w:hAnsi="Arial" w:cs="Arial"/>
          <w:sz w:val="22"/>
          <w:szCs w:val="22"/>
        </w:rPr>
        <w:t xml:space="preserve">to the end of </w:t>
      </w:r>
      <w:r w:rsidR="00FA37FE" w:rsidRPr="00501C8E">
        <w:rPr>
          <w:rFonts w:ascii="Arial" w:hAnsi="Arial" w:cs="Arial"/>
          <w:sz w:val="22"/>
          <w:szCs w:val="22"/>
        </w:rPr>
        <w:t>September</w:t>
      </w:r>
      <w:r w:rsidR="0092149F" w:rsidRPr="00501C8E">
        <w:rPr>
          <w:rFonts w:ascii="Arial" w:hAnsi="Arial" w:cs="Arial"/>
          <w:sz w:val="22"/>
          <w:szCs w:val="22"/>
        </w:rPr>
        <w:t xml:space="preserve"> 2016</w:t>
      </w:r>
      <w:r w:rsidR="00A37B8A" w:rsidRPr="00501C8E">
        <w:rPr>
          <w:rFonts w:ascii="Arial" w:hAnsi="Arial" w:cs="Arial"/>
          <w:sz w:val="22"/>
          <w:szCs w:val="22"/>
        </w:rPr>
        <w:t xml:space="preserve"> updated for predicted </w:t>
      </w:r>
      <w:r w:rsidR="00DA015A" w:rsidRPr="00501C8E">
        <w:rPr>
          <w:rFonts w:ascii="Arial" w:hAnsi="Arial" w:cs="Arial"/>
          <w:sz w:val="22"/>
          <w:szCs w:val="22"/>
        </w:rPr>
        <w:t xml:space="preserve">movements in payment profiles and forecast </w:t>
      </w:r>
      <w:r w:rsidR="00A37B8A" w:rsidRPr="00501C8E">
        <w:rPr>
          <w:rFonts w:ascii="Arial" w:hAnsi="Arial" w:cs="Arial"/>
          <w:sz w:val="22"/>
          <w:szCs w:val="22"/>
        </w:rPr>
        <w:t>under/overspends on the schemes as a whole</w:t>
      </w:r>
      <w:r w:rsidR="00587456" w:rsidRPr="00501C8E">
        <w:rPr>
          <w:rFonts w:ascii="Arial" w:hAnsi="Arial" w:cs="Arial"/>
          <w:sz w:val="22"/>
          <w:szCs w:val="22"/>
        </w:rPr>
        <w:t>.</w:t>
      </w:r>
    </w:p>
    <w:p w:rsidR="00587456" w:rsidRPr="00501C8E" w:rsidRDefault="00587456" w:rsidP="00F21659">
      <w:pPr>
        <w:tabs>
          <w:tab w:val="left" w:pos="720"/>
        </w:tabs>
        <w:ind w:left="720" w:hanging="720"/>
        <w:rPr>
          <w:rFonts w:ascii="Arial" w:hAnsi="Arial" w:cs="Arial"/>
          <w:sz w:val="22"/>
          <w:szCs w:val="22"/>
          <w:highlight w:val="yellow"/>
        </w:rPr>
      </w:pPr>
    </w:p>
    <w:p w:rsidR="00A365B4" w:rsidRPr="00501C8E" w:rsidRDefault="00A365B4" w:rsidP="00F21659">
      <w:pPr>
        <w:tabs>
          <w:tab w:val="left" w:pos="720"/>
        </w:tabs>
        <w:ind w:left="720" w:hanging="720"/>
        <w:rPr>
          <w:rFonts w:ascii="Arial" w:hAnsi="Arial" w:cs="Arial"/>
          <w:sz w:val="22"/>
          <w:szCs w:val="22"/>
          <w:u w:val="single"/>
        </w:rPr>
      </w:pPr>
      <w:r w:rsidRPr="00501C8E">
        <w:rPr>
          <w:rFonts w:ascii="Arial" w:hAnsi="Arial" w:cs="Arial"/>
          <w:sz w:val="22"/>
          <w:szCs w:val="22"/>
        </w:rPr>
        <w:tab/>
      </w:r>
      <w:r w:rsidRPr="00501C8E">
        <w:rPr>
          <w:rFonts w:ascii="Arial" w:hAnsi="Arial" w:cs="Arial"/>
          <w:sz w:val="22"/>
          <w:szCs w:val="22"/>
          <w:u w:val="single"/>
        </w:rPr>
        <w:t>Capital receipts</w:t>
      </w:r>
    </w:p>
    <w:p w:rsidR="00A365B4" w:rsidRPr="00501C8E" w:rsidRDefault="00A365B4" w:rsidP="00F21659">
      <w:pPr>
        <w:tabs>
          <w:tab w:val="left" w:pos="720"/>
        </w:tabs>
        <w:ind w:left="720" w:hanging="720"/>
        <w:rPr>
          <w:rFonts w:ascii="Arial" w:hAnsi="Arial" w:cs="Arial"/>
          <w:sz w:val="22"/>
          <w:szCs w:val="22"/>
          <w:highlight w:val="yellow"/>
        </w:rPr>
      </w:pPr>
    </w:p>
    <w:p w:rsidR="004B0D2D" w:rsidRPr="00501C8E" w:rsidRDefault="00BE41E8" w:rsidP="004B0D2D">
      <w:pPr>
        <w:ind w:left="709" w:hanging="709"/>
        <w:jc w:val="both"/>
        <w:rPr>
          <w:rFonts w:ascii="Arial" w:hAnsi="Arial" w:cs="Arial"/>
          <w:sz w:val="22"/>
          <w:szCs w:val="22"/>
        </w:rPr>
      </w:pPr>
      <w:r w:rsidRPr="00501C8E">
        <w:rPr>
          <w:rFonts w:ascii="Arial" w:hAnsi="Arial" w:cs="Arial"/>
          <w:sz w:val="22"/>
          <w:szCs w:val="22"/>
        </w:rPr>
        <w:t>4</w:t>
      </w:r>
      <w:r w:rsidR="000E39AD" w:rsidRPr="00501C8E">
        <w:rPr>
          <w:rFonts w:ascii="Arial" w:hAnsi="Arial" w:cs="Arial"/>
          <w:sz w:val="22"/>
          <w:szCs w:val="22"/>
        </w:rPr>
        <w:t>.</w:t>
      </w:r>
      <w:r w:rsidR="003215E2" w:rsidRPr="00501C8E">
        <w:rPr>
          <w:rFonts w:ascii="Arial" w:hAnsi="Arial" w:cs="Arial"/>
          <w:sz w:val="22"/>
          <w:szCs w:val="22"/>
        </w:rPr>
        <w:t>2</w:t>
      </w:r>
      <w:r w:rsidR="00587456" w:rsidRPr="00501C8E">
        <w:rPr>
          <w:rFonts w:ascii="Arial" w:hAnsi="Arial" w:cs="Arial"/>
          <w:sz w:val="22"/>
          <w:szCs w:val="22"/>
        </w:rPr>
        <w:tab/>
      </w:r>
      <w:r w:rsidR="004B0D2D" w:rsidRPr="00501C8E">
        <w:rPr>
          <w:rFonts w:ascii="Arial" w:hAnsi="Arial" w:cs="Arial"/>
          <w:sz w:val="22"/>
          <w:szCs w:val="22"/>
        </w:rPr>
        <w:t>The Council started the year with £3.942m in available capital receipts which can be used to fund future acquisition of assets. However, all of these receipts have been generated from the sale of dwellings under right-to-buy legislation or sales of land and legislation requires this is set aside for specific purposes.  In Runnymede’s case this is principally:</w:t>
      </w:r>
    </w:p>
    <w:p w:rsidR="004B0D2D" w:rsidRPr="00501C8E" w:rsidRDefault="004B0D2D" w:rsidP="004B0D2D">
      <w:pPr>
        <w:ind w:left="709" w:hanging="709"/>
        <w:jc w:val="both"/>
        <w:rPr>
          <w:rFonts w:ascii="Arial" w:hAnsi="Arial" w:cs="Arial"/>
          <w:sz w:val="22"/>
          <w:szCs w:val="22"/>
        </w:rPr>
      </w:pPr>
    </w:p>
    <w:p w:rsidR="004B0D2D" w:rsidRPr="00501C8E" w:rsidRDefault="004B0D2D" w:rsidP="004B0D2D">
      <w:pPr>
        <w:ind w:left="1418" w:hanging="283"/>
        <w:jc w:val="both"/>
        <w:rPr>
          <w:rFonts w:ascii="Arial" w:hAnsi="Arial" w:cs="Arial"/>
          <w:sz w:val="22"/>
          <w:szCs w:val="22"/>
        </w:rPr>
      </w:pPr>
      <w:r w:rsidRPr="00501C8E">
        <w:rPr>
          <w:rFonts w:ascii="Arial" w:hAnsi="Arial" w:cs="Arial"/>
          <w:sz w:val="22"/>
          <w:szCs w:val="22"/>
        </w:rPr>
        <w:t>•</w:t>
      </w:r>
      <w:r w:rsidRPr="00501C8E">
        <w:rPr>
          <w:rFonts w:ascii="Arial" w:hAnsi="Arial" w:cs="Arial"/>
          <w:sz w:val="22"/>
          <w:szCs w:val="22"/>
        </w:rPr>
        <w:tab/>
        <w:t>Future funding of new affordable housing</w:t>
      </w:r>
    </w:p>
    <w:p w:rsidR="004B0D2D" w:rsidRPr="00501C8E" w:rsidRDefault="004B0D2D" w:rsidP="004B0D2D">
      <w:pPr>
        <w:ind w:left="1418" w:hanging="283"/>
        <w:jc w:val="both"/>
        <w:rPr>
          <w:rFonts w:ascii="Arial" w:hAnsi="Arial" w:cs="Arial"/>
          <w:sz w:val="22"/>
          <w:szCs w:val="22"/>
        </w:rPr>
      </w:pPr>
      <w:r w:rsidRPr="00501C8E">
        <w:rPr>
          <w:rFonts w:ascii="Arial" w:hAnsi="Arial" w:cs="Arial"/>
          <w:sz w:val="22"/>
          <w:szCs w:val="22"/>
        </w:rPr>
        <w:t>•</w:t>
      </w:r>
      <w:r w:rsidRPr="00501C8E">
        <w:rPr>
          <w:rFonts w:ascii="Arial" w:hAnsi="Arial" w:cs="Arial"/>
          <w:sz w:val="22"/>
          <w:szCs w:val="22"/>
        </w:rPr>
        <w:tab/>
        <w:t>Repayment of housing debt over the next 30 years</w:t>
      </w:r>
    </w:p>
    <w:p w:rsidR="004B0D2D" w:rsidRPr="00501C8E" w:rsidRDefault="004B0D2D" w:rsidP="004B0D2D">
      <w:pPr>
        <w:ind w:left="1418" w:hanging="283"/>
        <w:jc w:val="both"/>
        <w:rPr>
          <w:rFonts w:ascii="Arial" w:hAnsi="Arial" w:cs="Arial"/>
          <w:sz w:val="22"/>
          <w:szCs w:val="22"/>
        </w:rPr>
      </w:pPr>
    </w:p>
    <w:p w:rsidR="004B0D2D" w:rsidRPr="00501C8E" w:rsidRDefault="003215E2" w:rsidP="004B0D2D">
      <w:pPr>
        <w:ind w:left="709" w:hanging="709"/>
        <w:jc w:val="both"/>
        <w:rPr>
          <w:rFonts w:ascii="Arial" w:hAnsi="Arial" w:cs="Arial"/>
          <w:sz w:val="22"/>
          <w:szCs w:val="22"/>
        </w:rPr>
      </w:pPr>
      <w:r w:rsidRPr="00501C8E">
        <w:rPr>
          <w:rFonts w:ascii="Arial" w:hAnsi="Arial" w:cs="Arial"/>
          <w:sz w:val="22"/>
          <w:szCs w:val="22"/>
        </w:rPr>
        <w:t>4.3</w:t>
      </w:r>
      <w:r w:rsidR="004B0D2D" w:rsidRPr="00501C8E">
        <w:rPr>
          <w:rFonts w:ascii="Arial" w:hAnsi="Arial" w:cs="Arial"/>
          <w:sz w:val="22"/>
          <w:szCs w:val="22"/>
        </w:rPr>
        <w:tab/>
        <w:t>Capital receipts can be used to pay for capital expenditure and, until they are spent, they also generate investment income.  The Capital Strategy approved by the Council in February 2016 assumed capital receipts of £13.916m would be generated in 2016/17.  It is now anticipated that in the current year, receipts of £</w:t>
      </w:r>
      <w:r w:rsidR="00DA015A" w:rsidRPr="00501C8E">
        <w:rPr>
          <w:rFonts w:ascii="Arial" w:hAnsi="Arial" w:cs="Arial"/>
          <w:sz w:val="22"/>
          <w:szCs w:val="22"/>
        </w:rPr>
        <w:t>10</w:t>
      </w:r>
      <w:r w:rsidR="000A41B5" w:rsidRPr="00501C8E">
        <w:rPr>
          <w:rFonts w:ascii="Arial" w:hAnsi="Arial" w:cs="Arial"/>
          <w:sz w:val="22"/>
          <w:szCs w:val="22"/>
        </w:rPr>
        <w:t>,</w:t>
      </w:r>
      <w:r w:rsidR="00DA015A" w:rsidRPr="00501C8E">
        <w:rPr>
          <w:rFonts w:ascii="Arial" w:hAnsi="Arial" w:cs="Arial"/>
          <w:sz w:val="22"/>
          <w:szCs w:val="22"/>
        </w:rPr>
        <w:t>48</w:t>
      </w:r>
      <w:r w:rsidR="006F797F" w:rsidRPr="00501C8E">
        <w:rPr>
          <w:rFonts w:ascii="Arial" w:hAnsi="Arial" w:cs="Arial"/>
          <w:sz w:val="22"/>
          <w:szCs w:val="22"/>
        </w:rPr>
        <w:t>8</w:t>
      </w:r>
      <w:r w:rsidR="004B0D2D" w:rsidRPr="00501C8E">
        <w:rPr>
          <w:rFonts w:ascii="Arial" w:hAnsi="Arial" w:cs="Arial"/>
          <w:sz w:val="22"/>
          <w:szCs w:val="22"/>
        </w:rPr>
        <w:t xml:space="preserve">m will be generated.  </w:t>
      </w:r>
    </w:p>
    <w:p w:rsidR="004B0D2D" w:rsidRPr="00501C8E" w:rsidRDefault="004B0D2D" w:rsidP="004B0D2D">
      <w:pPr>
        <w:ind w:left="709" w:hanging="709"/>
        <w:jc w:val="both"/>
        <w:rPr>
          <w:rFonts w:ascii="Arial" w:hAnsi="Arial" w:cs="Arial"/>
          <w:sz w:val="22"/>
          <w:szCs w:val="22"/>
        </w:rPr>
      </w:pPr>
    </w:p>
    <w:p w:rsidR="00587456" w:rsidRPr="00501C8E" w:rsidRDefault="00BE41E8" w:rsidP="00F21659">
      <w:pPr>
        <w:tabs>
          <w:tab w:val="left" w:pos="720"/>
        </w:tabs>
        <w:ind w:left="720" w:hanging="720"/>
        <w:rPr>
          <w:rFonts w:ascii="Arial" w:hAnsi="Arial" w:cs="Arial"/>
          <w:sz w:val="22"/>
          <w:szCs w:val="22"/>
        </w:rPr>
      </w:pPr>
      <w:r w:rsidRPr="00501C8E">
        <w:rPr>
          <w:rFonts w:ascii="Arial" w:hAnsi="Arial" w:cs="Arial"/>
          <w:sz w:val="22"/>
          <w:szCs w:val="22"/>
        </w:rPr>
        <w:t>4</w:t>
      </w:r>
      <w:r w:rsidR="00587456" w:rsidRPr="00501C8E">
        <w:rPr>
          <w:rFonts w:ascii="Arial" w:hAnsi="Arial" w:cs="Arial"/>
          <w:sz w:val="22"/>
          <w:szCs w:val="22"/>
        </w:rPr>
        <w:t>.</w:t>
      </w:r>
      <w:r w:rsidR="003215E2" w:rsidRPr="00501C8E">
        <w:rPr>
          <w:rFonts w:ascii="Arial" w:hAnsi="Arial" w:cs="Arial"/>
          <w:sz w:val="22"/>
          <w:szCs w:val="22"/>
        </w:rPr>
        <w:t>4</w:t>
      </w:r>
      <w:r w:rsidR="00587456" w:rsidRPr="00501C8E">
        <w:rPr>
          <w:rFonts w:ascii="Arial" w:hAnsi="Arial" w:cs="Arial"/>
          <w:sz w:val="22"/>
          <w:szCs w:val="22"/>
        </w:rPr>
        <w:tab/>
      </w:r>
      <w:r w:rsidR="004B0D2D" w:rsidRPr="00501C8E">
        <w:rPr>
          <w:rFonts w:ascii="Arial" w:hAnsi="Arial" w:cs="Arial"/>
          <w:sz w:val="22"/>
          <w:szCs w:val="22"/>
        </w:rPr>
        <w:t>T</w:t>
      </w:r>
      <w:r w:rsidR="00587456" w:rsidRPr="00501C8E">
        <w:rPr>
          <w:rFonts w:ascii="Arial" w:hAnsi="Arial" w:cs="Arial"/>
          <w:sz w:val="22"/>
          <w:szCs w:val="22"/>
        </w:rPr>
        <w:t>able</w:t>
      </w:r>
      <w:r w:rsidR="004B0D2D" w:rsidRPr="00501C8E">
        <w:rPr>
          <w:rFonts w:ascii="Arial" w:hAnsi="Arial" w:cs="Arial"/>
          <w:sz w:val="22"/>
          <w:szCs w:val="22"/>
        </w:rPr>
        <w:t xml:space="preserve"> </w:t>
      </w:r>
      <w:r w:rsidR="006F165A" w:rsidRPr="00501C8E">
        <w:rPr>
          <w:rFonts w:ascii="Arial" w:hAnsi="Arial" w:cs="Arial"/>
          <w:sz w:val="22"/>
          <w:szCs w:val="22"/>
        </w:rPr>
        <w:t>12</w:t>
      </w:r>
      <w:r w:rsidR="00587456" w:rsidRPr="00501C8E">
        <w:rPr>
          <w:rFonts w:ascii="Arial" w:hAnsi="Arial" w:cs="Arial"/>
          <w:sz w:val="22"/>
          <w:szCs w:val="22"/>
        </w:rPr>
        <w:t xml:space="preserve"> sets out the anticipated capital receipts position as at the 31 March 201</w:t>
      </w:r>
      <w:r w:rsidR="004B0D2D" w:rsidRPr="00501C8E">
        <w:rPr>
          <w:rFonts w:ascii="Arial" w:hAnsi="Arial" w:cs="Arial"/>
          <w:sz w:val="22"/>
          <w:szCs w:val="22"/>
        </w:rPr>
        <w:t>7</w:t>
      </w:r>
      <w:r w:rsidR="00587456" w:rsidRPr="00501C8E">
        <w:rPr>
          <w:rFonts w:ascii="Arial" w:hAnsi="Arial" w:cs="Arial"/>
          <w:sz w:val="22"/>
          <w:szCs w:val="22"/>
        </w:rPr>
        <w:t xml:space="preserve"> based on the current forecast outturn in capital spend and receipts as set out in </w:t>
      </w:r>
      <w:r w:rsidR="00430072">
        <w:rPr>
          <w:rFonts w:ascii="Arial" w:hAnsi="Arial" w:cs="Arial"/>
          <w:sz w:val="22"/>
          <w:szCs w:val="22"/>
        </w:rPr>
        <w:t>Exempt Appendix ‘4’</w:t>
      </w:r>
      <w:r w:rsidR="00587456" w:rsidRPr="00501C8E">
        <w:rPr>
          <w:rFonts w:ascii="Arial" w:hAnsi="Arial" w:cs="Arial"/>
          <w:sz w:val="22"/>
          <w:szCs w:val="22"/>
        </w:rPr>
        <w:t>:</w:t>
      </w:r>
    </w:p>
    <w:p w:rsidR="00587456" w:rsidRPr="00501C8E" w:rsidRDefault="00587456" w:rsidP="00F21659">
      <w:pPr>
        <w:tabs>
          <w:tab w:val="left" w:pos="720"/>
        </w:tabs>
        <w:ind w:left="720" w:hanging="720"/>
        <w:rPr>
          <w:rFonts w:ascii="Arial" w:hAnsi="Arial" w:cs="Arial"/>
          <w:sz w:val="22"/>
          <w:szCs w:val="22"/>
          <w:highlight w:val="yellow"/>
        </w:rPr>
      </w:pPr>
    </w:p>
    <w:tbl>
      <w:tblPr>
        <w:tblW w:w="9027"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958"/>
        <w:gridCol w:w="1276"/>
        <w:gridCol w:w="1417"/>
        <w:gridCol w:w="1134"/>
        <w:gridCol w:w="1242"/>
      </w:tblGrid>
      <w:tr w:rsidR="00E44A37" w:rsidRPr="00501C8E" w:rsidTr="00E44A37">
        <w:trPr>
          <w:trHeight w:val="255"/>
        </w:trPr>
        <w:tc>
          <w:tcPr>
            <w:tcW w:w="9027" w:type="dxa"/>
            <w:gridSpan w:val="5"/>
            <w:shd w:val="clear" w:color="auto" w:fill="BFBFBF" w:themeFill="background1" w:themeFillShade="BF"/>
            <w:noWrap/>
            <w:vAlign w:val="bottom"/>
          </w:tcPr>
          <w:p w:rsidR="00E44A37" w:rsidRPr="00501C8E" w:rsidRDefault="00E44A37" w:rsidP="006F165A">
            <w:pPr>
              <w:jc w:val="center"/>
              <w:rPr>
                <w:rFonts w:ascii="Arial" w:hAnsi="Arial" w:cs="Arial"/>
                <w:b/>
                <w:sz w:val="22"/>
                <w:szCs w:val="22"/>
                <w:highlight w:val="yellow"/>
                <w:lang w:eastAsia="en-GB"/>
              </w:rPr>
            </w:pPr>
            <w:r w:rsidRPr="00501C8E">
              <w:rPr>
                <w:rFonts w:ascii="Arial" w:hAnsi="Arial" w:cs="Arial"/>
                <w:b/>
                <w:sz w:val="22"/>
                <w:szCs w:val="22"/>
                <w:lang w:eastAsia="en-GB"/>
              </w:rPr>
              <w:t xml:space="preserve">Table </w:t>
            </w:r>
            <w:r w:rsidR="006F165A" w:rsidRPr="00501C8E">
              <w:rPr>
                <w:rFonts w:ascii="Arial" w:hAnsi="Arial" w:cs="Arial"/>
                <w:b/>
                <w:sz w:val="22"/>
                <w:szCs w:val="22"/>
                <w:lang w:eastAsia="en-GB"/>
              </w:rPr>
              <w:t>12</w:t>
            </w:r>
            <w:r w:rsidRPr="00501C8E">
              <w:rPr>
                <w:rFonts w:ascii="Arial" w:hAnsi="Arial" w:cs="Arial"/>
                <w:b/>
                <w:sz w:val="22"/>
                <w:szCs w:val="22"/>
                <w:lang w:eastAsia="en-GB"/>
              </w:rPr>
              <w:t xml:space="preserve"> – Capital receipts</w:t>
            </w:r>
          </w:p>
        </w:tc>
      </w:tr>
      <w:tr w:rsidR="00E44A37" w:rsidRPr="00501C8E" w:rsidTr="00E44A37">
        <w:trPr>
          <w:trHeight w:val="255"/>
        </w:trPr>
        <w:tc>
          <w:tcPr>
            <w:tcW w:w="3958" w:type="dxa"/>
            <w:shd w:val="clear" w:color="auto" w:fill="auto"/>
            <w:noWrap/>
            <w:vAlign w:val="bottom"/>
          </w:tcPr>
          <w:p w:rsidR="00E44A37" w:rsidRPr="00501C8E" w:rsidRDefault="00E44A37" w:rsidP="007A438E">
            <w:pPr>
              <w:tabs>
                <w:tab w:val="left" w:pos="522"/>
              </w:tabs>
              <w:ind w:left="162"/>
              <w:rPr>
                <w:rStyle w:val="endsenrhsennumparatext"/>
                <w:rFonts w:ascii="Arial" w:hAnsi="Arial" w:cs="Arial"/>
                <w:b/>
                <w:sz w:val="22"/>
                <w:szCs w:val="22"/>
                <w:lang w:val="en"/>
              </w:rPr>
            </w:pPr>
          </w:p>
        </w:tc>
        <w:tc>
          <w:tcPr>
            <w:tcW w:w="1276" w:type="dxa"/>
            <w:shd w:val="clear" w:color="auto" w:fill="auto"/>
            <w:noWrap/>
          </w:tcPr>
          <w:p w:rsidR="00E44A37" w:rsidRPr="00501C8E" w:rsidRDefault="00E44A37" w:rsidP="007A438E">
            <w:pPr>
              <w:jc w:val="center"/>
              <w:rPr>
                <w:rFonts w:ascii="Arial" w:hAnsi="Arial" w:cs="Arial"/>
                <w:b/>
                <w:sz w:val="22"/>
                <w:szCs w:val="22"/>
                <w:lang w:eastAsia="en-GB"/>
              </w:rPr>
            </w:pPr>
            <w:r w:rsidRPr="00501C8E">
              <w:rPr>
                <w:rFonts w:ascii="Arial" w:hAnsi="Arial" w:cs="Arial"/>
                <w:b/>
                <w:sz w:val="22"/>
                <w:szCs w:val="22"/>
                <w:lang w:eastAsia="en-GB"/>
              </w:rPr>
              <w:t>Debt Repayment</w:t>
            </w:r>
          </w:p>
          <w:p w:rsidR="00E44A37" w:rsidRPr="00501C8E" w:rsidRDefault="00E44A37" w:rsidP="007A438E">
            <w:pPr>
              <w:jc w:val="center"/>
              <w:rPr>
                <w:rFonts w:ascii="Arial" w:hAnsi="Arial" w:cs="Arial"/>
                <w:sz w:val="22"/>
                <w:szCs w:val="22"/>
              </w:rPr>
            </w:pPr>
            <w:r w:rsidRPr="00501C8E">
              <w:rPr>
                <w:rFonts w:ascii="Arial" w:hAnsi="Arial" w:cs="Arial"/>
                <w:b/>
                <w:sz w:val="22"/>
                <w:szCs w:val="22"/>
                <w:lang w:eastAsia="en-GB"/>
              </w:rPr>
              <w:t>£’000</w:t>
            </w:r>
          </w:p>
        </w:tc>
        <w:tc>
          <w:tcPr>
            <w:tcW w:w="1417" w:type="dxa"/>
          </w:tcPr>
          <w:p w:rsidR="00E44A37" w:rsidRPr="00501C8E" w:rsidRDefault="00E44A37" w:rsidP="007A438E">
            <w:pPr>
              <w:jc w:val="center"/>
              <w:rPr>
                <w:rFonts w:ascii="Arial" w:hAnsi="Arial" w:cs="Arial"/>
                <w:b/>
                <w:sz w:val="22"/>
                <w:szCs w:val="22"/>
                <w:lang w:eastAsia="en-GB"/>
              </w:rPr>
            </w:pPr>
            <w:r w:rsidRPr="00501C8E">
              <w:rPr>
                <w:rFonts w:ascii="Arial" w:hAnsi="Arial" w:cs="Arial"/>
                <w:b/>
                <w:sz w:val="22"/>
                <w:szCs w:val="22"/>
                <w:lang w:eastAsia="en-GB"/>
              </w:rPr>
              <w:t>Housing replacement</w:t>
            </w:r>
          </w:p>
          <w:p w:rsidR="00E44A37" w:rsidRPr="00501C8E" w:rsidRDefault="00E44A37" w:rsidP="007A438E">
            <w:pPr>
              <w:jc w:val="center"/>
              <w:rPr>
                <w:rFonts w:ascii="Arial" w:hAnsi="Arial" w:cs="Arial"/>
                <w:b/>
                <w:sz w:val="22"/>
                <w:szCs w:val="22"/>
                <w:lang w:eastAsia="en-GB"/>
              </w:rPr>
            </w:pPr>
            <w:r w:rsidRPr="00501C8E">
              <w:rPr>
                <w:rFonts w:ascii="Arial" w:hAnsi="Arial" w:cs="Arial"/>
                <w:b/>
                <w:sz w:val="22"/>
                <w:szCs w:val="22"/>
                <w:lang w:eastAsia="en-GB"/>
              </w:rPr>
              <w:t>£’000</w:t>
            </w:r>
          </w:p>
        </w:tc>
        <w:tc>
          <w:tcPr>
            <w:tcW w:w="1134" w:type="dxa"/>
          </w:tcPr>
          <w:p w:rsidR="00E44A37" w:rsidRPr="00501C8E" w:rsidRDefault="00E44A37" w:rsidP="007A438E">
            <w:pPr>
              <w:jc w:val="center"/>
              <w:rPr>
                <w:rFonts w:ascii="Arial" w:hAnsi="Arial" w:cs="Arial"/>
                <w:b/>
                <w:sz w:val="22"/>
                <w:szCs w:val="22"/>
                <w:lang w:eastAsia="en-GB"/>
              </w:rPr>
            </w:pPr>
            <w:r w:rsidRPr="00501C8E">
              <w:rPr>
                <w:rFonts w:ascii="Arial" w:hAnsi="Arial" w:cs="Arial"/>
                <w:b/>
                <w:sz w:val="22"/>
                <w:szCs w:val="22"/>
                <w:lang w:eastAsia="en-GB"/>
              </w:rPr>
              <w:t>General use</w:t>
            </w:r>
          </w:p>
          <w:p w:rsidR="00E44A37" w:rsidRPr="00501C8E" w:rsidRDefault="00E44A37" w:rsidP="007A438E">
            <w:pPr>
              <w:tabs>
                <w:tab w:val="center" w:pos="413"/>
              </w:tabs>
              <w:rPr>
                <w:rFonts w:ascii="Arial" w:hAnsi="Arial" w:cs="Arial"/>
                <w:b/>
                <w:sz w:val="22"/>
                <w:szCs w:val="22"/>
                <w:lang w:eastAsia="en-GB"/>
              </w:rPr>
            </w:pPr>
            <w:r w:rsidRPr="00501C8E">
              <w:rPr>
                <w:rFonts w:ascii="Arial" w:hAnsi="Arial" w:cs="Arial"/>
                <w:b/>
                <w:sz w:val="22"/>
                <w:szCs w:val="22"/>
                <w:lang w:eastAsia="en-GB"/>
              </w:rPr>
              <w:tab/>
              <w:t>£’000</w:t>
            </w:r>
          </w:p>
        </w:tc>
        <w:tc>
          <w:tcPr>
            <w:tcW w:w="1242" w:type="dxa"/>
            <w:shd w:val="clear" w:color="auto" w:fill="auto"/>
            <w:noWrap/>
          </w:tcPr>
          <w:p w:rsidR="00E44A37" w:rsidRPr="00501C8E" w:rsidRDefault="00E44A37" w:rsidP="007A438E">
            <w:pPr>
              <w:jc w:val="center"/>
              <w:rPr>
                <w:rFonts w:ascii="Arial" w:hAnsi="Arial" w:cs="Arial"/>
                <w:b/>
                <w:sz w:val="22"/>
                <w:szCs w:val="22"/>
                <w:lang w:eastAsia="en-GB"/>
              </w:rPr>
            </w:pPr>
            <w:r w:rsidRPr="00501C8E">
              <w:rPr>
                <w:rFonts w:ascii="Arial" w:hAnsi="Arial" w:cs="Arial"/>
                <w:b/>
                <w:sz w:val="22"/>
                <w:szCs w:val="22"/>
                <w:lang w:eastAsia="en-GB"/>
              </w:rPr>
              <w:t>Total</w:t>
            </w:r>
          </w:p>
          <w:p w:rsidR="00E44A37" w:rsidRPr="00501C8E" w:rsidRDefault="00E44A37" w:rsidP="007A438E">
            <w:pPr>
              <w:jc w:val="center"/>
              <w:rPr>
                <w:rFonts w:ascii="Arial" w:hAnsi="Arial" w:cs="Arial"/>
                <w:b/>
                <w:sz w:val="22"/>
                <w:szCs w:val="22"/>
                <w:lang w:eastAsia="en-GB"/>
              </w:rPr>
            </w:pPr>
            <w:r w:rsidRPr="00501C8E">
              <w:rPr>
                <w:rFonts w:ascii="Arial" w:hAnsi="Arial" w:cs="Arial"/>
                <w:b/>
                <w:sz w:val="22"/>
                <w:szCs w:val="22"/>
                <w:lang w:eastAsia="en-GB"/>
              </w:rPr>
              <w:t>Receipts</w:t>
            </w:r>
          </w:p>
          <w:p w:rsidR="00E44A37" w:rsidRPr="00501C8E" w:rsidRDefault="00E44A37" w:rsidP="007A438E">
            <w:pPr>
              <w:jc w:val="center"/>
              <w:rPr>
                <w:rFonts w:ascii="Arial" w:hAnsi="Arial" w:cs="Arial"/>
                <w:b/>
                <w:sz w:val="22"/>
                <w:szCs w:val="22"/>
                <w:lang w:eastAsia="en-GB"/>
              </w:rPr>
            </w:pPr>
            <w:r w:rsidRPr="00501C8E">
              <w:rPr>
                <w:rFonts w:ascii="Arial" w:hAnsi="Arial" w:cs="Arial"/>
                <w:b/>
                <w:sz w:val="22"/>
                <w:szCs w:val="22"/>
                <w:lang w:eastAsia="en-GB"/>
              </w:rPr>
              <w:t>£’000</w:t>
            </w:r>
          </w:p>
        </w:tc>
      </w:tr>
      <w:tr w:rsidR="00E44A37" w:rsidRPr="00501C8E" w:rsidTr="00E44A37">
        <w:trPr>
          <w:trHeight w:val="255"/>
        </w:trPr>
        <w:tc>
          <w:tcPr>
            <w:tcW w:w="3958" w:type="dxa"/>
            <w:shd w:val="clear" w:color="auto" w:fill="auto"/>
            <w:noWrap/>
            <w:vAlign w:val="bottom"/>
          </w:tcPr>
          <w:p w:rsidR="00A365B4" w:rsidRPr="00501C8E" w:rsidRDefault="00A365B4" w:rsidP="000B5942">
            <w:pPr>
              <w:tabs>
                <w:tab w:val="left" w:pos="522"/>
              </w:tabs>
              <w:ind w:left="162"/>
              <w:rPr>
                <w:rStyle w:val="endsenrhsennumparatext"/>
                <w:rFonts w:ascii="Arial" w:hAnsi="Arial" w:cs="Arial"/>
                <w:sz w:val="22"/>
                <w:szCs w:val="22"/>
                <w:lang w:val="en"/>
              </w:rPr>
            </w:pPr>
            <w:r w:rsidRPr="00501C8E">
              <w:rPr>
                <w:rStyle w:val="endsenrhsennumparatext"/>
                <w:rFonts w:ascii="Arial" w:hAnsi="Arial" w:cs="Arial"/>
                <w:sz w:val="22"/>
                <w:szCs w:val="22"/>
                <w:lang w:val="en"/>
              </w:rPr>
              <w:t>Total Capital Receipts at 1 April 2016</w:t>
            </w:r>
          </w:p>
        </w:tc>
        <w:tc>
          <w:tcPr>
            <w:tcW w:w="1276" w:type="dxa"/>
            <w:tcBorders>
              <w:bottom w:val="dotted" w:sz="4" w:space="0" w:color="auto"/>
            </w:tcBorders>
            <w:shd w:val="clear" w:color="auto" w:fill="auto"/>
            <w:noWrap/>
          </w:tcPr>
          <w:p w:rsidR="00A365B4" w:rsidRPr="00501C8E" w:rsidRDefault="00E44A37" w:rsidP="00853947">
            <w:pPr>
              <w:jc w:val="right"/>
              <w:rPr>
                <w:rFonts w:ascii="Arial" w:hAnsi="Arial" w:cs="Arial"/>
                <w:sz w:val="22"/>
                <w:szCs w:val="22"/>
                <w:lang w:eastAsia="en-GB"/>
              </w:rPr>
            </w:pPr>
            <w:r w:rsidRPr="00501C8E">
              <w:rPr>
                <w:rFonts w:ascii="Arial" w:hAnsi="Arial" w:cs="Arial"/>
                <w:sz w:val="22"/>
                <w:szCs w:val="22"/>
                <w:lang w:eastAsia="en-GB"/>
              </w:rPr>
              <w:t>1,722</w:t>
            </w:r>
          </w:p>
        </w:tc>
        <w:tc>
          <w:tcPr>
            <w:tcW w:w="1417" w:type="dxa"/>
          </w:tcPr>
          <w:p w:rsidR="00A365B4" w:rsidRPr="00501C8E" w:rsidRDefault="00E44A37" w:rsidP="00E44A37">
            <w:pPr>
              <w:jc w:val="right"/>
              <w:rPr>
                <w:rFonts w:ascii="Arial" w:hAnsi="Arial" w:cs="Arial"/>
                <w:sz w:val="22"/>
                <w:szCs w:val="22"/>
                <w:lang w:eastAsia="en-GB"/>
              </w:rPr>
            </w:pPr>
            <w:r w:rsidRPr="00501C8E">
              <w:rPr>
                <w:rFonts w:ascii="Arial" w:hAnsi="Arial" w:cs="Arial"/>
                <w:sz w:val="22"/>
                <w:szCs w:val="22"/>
                <w:lang w:eastAsia="en-GB"/>
              </w:rPr>
              <w:t>2,220</w:t>
            </w:r>
          </w:p>
        </w:tc>
        <w:tc>
          <w:tcPr>
            <w:tcW w:w="1134" w:type="dxa"/>
          </w:tcPr>
          <w:p w:rsidR="00A365B4" w:rsidRPr="00501C8E" w:rsidRDefault="00E44A37" w:rsidP="00E44A37">
            <w:pPr>
              <w:jc w:val="right"/>
              <w:rPr>
                <w:rFonts w:ascii="Arial" w:hAnsi="Arial" w:cs="Arial"/>
                <w:sz w:val="22"/>
                <w:szCs w:val="22"/>
                <w:lang w:eastAsia="en-GB"/>
              </w:rPr>
            </w:pPr>
            <w:r w:rsidRPr="00501C8E">
              <w:rPr>
                <w:rFonts w:ascii="Arial" w:hAnsi="Arial" w:cs="Arial"/>
                <w:sz w:val="22"/>
                <w:szCs w:val="22"/>
                <w:lang w:eastAsia="en-GB"/>
              </w:rPr>
              <w:t>0</w:t>
            </w:r>
          </w:p>
        </w:tc>
        <w:tc>
          <w:tcPr>
            <w:tcW w:w="1242" w:type="dxa"/>
            <w:shd w:val="clear" w:color="auto" w:fill="auto"/>
            <w:noWrap/>
          </w:tcPr>
          <w:p w:rsidR="00A365B4" w:rsidRPr="00501C8E" w:rsidRDefault="00E44A37" w:rsidP="00E44A37">
            <w:pPr>
              <w:jc w:val="right"/>
              <w:rPr>
                <w:rFonts w:ascii="Arial" w:hAnsi="Arial" w:cs="Arial"/>
                <w:b/>
                <w:sz w:val="22"/>
                <w:szCs w:val="22"/>
                <w:lang w:eastAsia="en-GB"/>
              </w:rPr>
            </w:pPr>
            <w:r w:rsidRPr="00501C8E">
              <w:rPr>
                <w:rFonts w:ascii="Arial" w:hAnsi="Arial" w:cs="Arial"/>
                <w:b/>
                <w:sz w:val="22"/>
                <w:szCs w:val="22"/>
                <w:lang w:eastAsia="en-GB"/>
              </w:rPr>
              <w:t>3,942</w:t>
            </w:r>
          </w:p>
        </w:tc>
      </w:tr>
      <w:tr w:rsidR="00006B17" w:rsidRPr="00501C8E" w:rsidTr="00E44A37">
        <w:trPr>
          <w:trHeight w:val="255"/>
        </w:trPr>
        <w:tc>
          <w:tcPr>
            <w:tcW w:w="3958" w:type="dxa"/>
            <w:shd w:val="clear" w:color="auto" w:fill="auto"/>
            <w:noWrap/>
            <w:vAlign w:val="bottom"/>
          </w:tcPr>
          <w:p w:rsidR="00006B17" w:rsidRPr="00501C8E" w:rsidRDefault="00006B17" w:rsidP="00F21659">
            <w:pPr>
              <w:tabs>
                <w:tab w:val="left" w:pos="522"/>
              </w:tabs>
              <w:ind w:left="162"/>
              <w:rPr>
                <w:rStyle w:val="endsenrhsennumparatext"/>
                <w:rFonts w:ascii="Arial" w:hAnsi="Arial" w:cs="Arial"/>
                <w:sz w:val="22"/>
                <w:szCs w:val="22"/>
                <w:lang w:val="en"/>
              </w:rPr>
            </w:pPr>
            <w:r w:rsidRPr="00501C8E">
              <w:rPr>
                <w:rStyle w:val="endsenrhsennumparatext"/>
                <w:rFonts w:ascii="Arial" w:hAnsi="Arial" w:cs="Arial"/>
                <w:sz w:val="22"/>
                <w:szCs w:val="22"/>
                <w:lang w:val="en"/>
              </w:rPr>
              <w:t>Capital Receipts generated in the Year</w:t>
            </w:r>
          </w:p>
        </w:tc>
        <w:tc>
          <w:tcPr>
            <w:tcW w:w="1276" w:type="dxa"/>
            <w:shd w:val="clear" w:color="auto" w:fill="auto"/>
            <w:noWrap/>
          </w:tcPr>
          <w:p w:rsidR="00006B17" w:rsidRPr="00501C8E" w:rsidRDefault="008A792C" w:rsidP="00A37101">
            <w:pPr>
              <w:jc w:val="right"/>
              <w:rPr>
                <w:rFonts w:ascii="Arial" w:hAnsi="Arial" w:cs="Arial"/>
                <w:sz w:val="22"/>
                <w:szCs w:val="22"/>
                <w:lang w:eastAsia="en-GB"/>
              </w:rPr>
            </w:pPr>
            <w:r w:rsidRPr="00501C8E">
              <w:rPr>
                <w:rFonts w:ascii="Arial" w:hAnsi="Arial" w:cs="Arial"/>
                <w:sz w:val="22"/>
                <w:szCs w:val="22"/>
                <w:lang w:eastAsia="en-GB"/>
              </w:rPr>
              <w:t>750</w:t>
            </w:r>
          </w:p>
        </w:tc>
        <w:tc>
          <w:tcPr>
            <w:tcW w:w="1417" w:type="dxa"/>
          </w:tcPr>
          <w:p w:rsidR="00006B17" w:rsidRPr="00501C8E" w:rsidRDefault="00DA015A" w:rsidP="007A438E">
            <w:pPr>
              <w:jc w:val="right"/>
              <w:rPr>
                <w:rFonts w:ascii="Arial" w:hAnsi="Arial" w:cs="Arial"/>
                <w:sz w:val="22"/>
                <w:szCs w:val="22"/>
                <w:lang w:eastAsia="en-GB"/>
              </w:rPr>
            </w:pPr>
            <w:r w:rsidRPr="00501C8E">
              <w:rPr>
                <w:rFonts w:ascii="Arial" w:hAnsi="Arial" w:cs="Arial"/>
                <w:sz w:val="22"/>
                <w:szCs w:val="22"/>
                <w:lang w:eastAsia="en-GB"/>
              </w:rPr>
              <w:t>1,796</w:t>
            </w:r>
          </w:p>
        </w:tc>
        <w:tc>
          <w:tcPr>
            <w:tcW w:w="1134" w:type="dxa"/>
          </w:tcPr>
          <w:p w:rsidR="00006B17" w:rsidRPr="00501C8E" w:rsidRDefault="00405D66" w:rsidP="007F620C">
            <w:pPr>
              <w:jc w:val="right"/>
              <w:rPr>
                <w:rFonts w:ascii="Arial" w:hAnsi="Arial" w:cs="Arial"/>
                <w:sz w:val="22"/>
                <w:szCs w:val="22"/>
                <w:lang w:eastAsia="en-GB"/>
              </w:rPr>
            </w:pPr>
            <w:r w:rsidRPr="00501C8E">
              <w:rPr>
                <w:rFonts w:ascii="Arial" w:hAnsi="Arial" w:cs="Arial"/>
                <w:sz w:val="22"/>
                <w:szCs w:val="22"/>
                <w:lang w:eastAsia="en-GB"/>
              </w:rPr>
              <w:t>7,94</w:t>
            </w:r>
            <w:r w:rsidR="007F620C" w:rsidRPr="00501C8E">
              <w:rPr>
                <w:rFonts w:ascii="Arial" w:hAnsi="Arial" w:cs="Arial"/>
                <w:sz w:val="22"/>
                <w:szCs w:val="22"/>
                <w:lang w:eastAsia="en-GB"/>
              </w:rPr>
              <w:t>2</w:t>
            </w:r>
          </w:p>
        </w:tc>
        <w:tc>
          <w:tcPr>
            <w:tcW w:w="1242" w:type="dxa"/>
            <w:shd w:val="clear" w:color="auto" w:fill="auto"/>
            <w:noWrap/>
          </w:tcPr>
          <w:p w:rsidR="00006B17" w:rsidRPr="00501C8E" w:rsidRDefault="00405D66" w:rsidP="007F620C">
            <w:pPr>
              <w:jc w:val="right"/>
              <w:rPr>
                <w:rFonts w:ascii="Arial" w:hAnsi="Arial" w:cs="Arial"/>
                <w:b/>
                <w:sz w:val="22"/>
                <w:szCs w:val="22"/>
                <w:lang w:eastAsia="en-GB"/>
              </w:rPr>
            </w:pPr>
            <w:r w:rsidRPr="00501C8E">
              <w:rPr>
                <w:rFonts w:ascii="Arial" w:hAnsi="Arial" w:cs="Arial"/>
                <w:b/>
                <w:sz w:val="22"/>
                <w:szCs w:val="22"/>
                <w:lang w:eastAsia="en-GB"/>
              </w:rPr>
              <w:t>10</w:t>
            </w:r>
            <w:r w:rsidR="00004F31" w:rsidRPr="00501C8E">
              <w:rPr>
                <w:rFonts w:ascii="Arial" w:hAnsi="Arial" w:cs="Arial"/>
                <w:b/>
                <w:sz w:val="22"/>
                <w:szCs w:val="22"/>
                <w:lang w:eastAsia="en-GB"/>
              </w:rPr>
              <w:t>,</w:t>
            </w:r>
            <w:r w:rsidRPr="00501C8E">
              <w:rPr>
                <w:rFonts w:ascii="Arial" w:hAnsi="Arial" w:cs="Arial"/>
                <w:b/>
                <w:sz w:val="22"/>
                <w:szCs w:val="22"/>
                <w:lang w:eastAsia="en-GB"/>
              </w:rPr>
              <w:t>48</w:t>
            </w:r>
            <w:r w:rsidR="007F620C" w:rsidRPr="00501C8E">
              <w:rPr>
                <w:rFonts w:ascii="Arial" w:hAnsi="Arial" w:cs="Arial"/>
                <w:b/>
                <w:sz w:val="22"/>
                <w:szCs w:val="22"/>
                <w:lang w:eastAsia="en-GB"/>
              </w:rPr>
              <w:t>8</w:t>
            </w:r>
          </w:p>
        </w:tc>
      </w:tr>
      <w:tr w:rsidR="00006B17" w:rsidRPr="00501C8E" w:rsidTr="00E44A37">
        <w:trPr>
          <w:trHeight w:val="255"/>
        </w:trPr>
        <w:tc>
          <w:tcPr>
            <w:tcW w:w="3958" w:type="dxa"/>
            <w:tcBorders>
              <w:bottom w:val="dotted" w:sz="4" w:space="0" w:color="auto"/>
            </w:tcBorders>
            <w:shd w:val="clear" w:color="auto" w:fill="auto"/>
            <w:noWrap/>
            <w:vAlign w:val="bottom"/>
          </w:tcPr>
          <w:p w:rsidR="00006B17" w:rsidRPr="00501C8E" w:rsidRDefault="00006B17" w:rsidP="00FB1278">
            <w:pPr>
              <w:tabs>
                <w:tab w:val="left" w:pos="522"/>
              </w:tabs>
              <w:ind w:left="162"/>
              <w:rPr>
                <w:rStyle w:val="endsenrhsennumparatext"/>
                <w:rFonts w:ascii="Arial" w:hAnsi="Arial" w:cs="Arial"/>
                <w:sz w:val="22"/>
                <w:szCs w:val="22"/>
                <w:lang w:val="en"/>
              </w:rPr>
            </w:pPr>
            <w:r w:rsidRPr="00501C8E">
              <w:rPr>
                <w:rStyle w:val="endsenrhsennumparatext"/>
                <w:rFonts w:ascii="Arial" w:hAnsi="Arial" w:cs="Arial"/>
                <w:sz w:val="22"/>
                <w:szCs w:val="22"/>
                <w:lang w:val="en"/>
              </w:rPr>
              <w:t>Use of Receipts in year</w:t>
            </w:r>
          </w:p>
        </w:tc>
        <w:tc>
          <w:tcPr>
            <w:tcW w:w="1276" w:type="dxa"/>
            <w:tcBorders>
              <w:bottom w:val="dotted" w:sz="4" w:space="0" w:color="auto"/>
            </w:tcBorders>
            <w:shd w:val="clear" w:color="auto" w:fill="auto"/>
            <w:noWrap/>
          </w:tcPr>
          <w:p w:rsidR="00006B17" w:rsidRPr="00501C8E" w:rsidRDefault="00006B17" w:rsidP="008A0EA3">
            <w:pPr>
              <w:jc w:val="right"/>
              <w:rPr>
                <w:rFonts w:ascii="Arial" w:hAnsi="Arial" w:cs="Arial"/>
                <w:sz w:val="22"/>
                <w:szCs w:val="22"/>
                <w:lang w:eastAsia="en-GB"/>
              </w:rPr>
            </w:pPr>
            <w:r w:rsidRPr="00501C8E">
              <w:rPr>
                <w:rFonts w:ascii="Arial" w:hAnsi="Arial" w:cs="Arial"/>
                <w:sz w:val="22"/>
                <w:szCs w:val="22"/>
                <w:lang w:eastAsia="en-GB"/>
              </w:rPr>
              <w:t>0</w:t>
            </w:r>
          </w:p>
        </w:tc>
        <w:tc>
          <w:tcPr>
            <w:tcW w:w="1417" w:type="dxa"/>
            <w:tcBorders>
              <w:bottom w:val="dotted" w:sz="4" w:space="0" w:color="auto"/>
            </w:tcBorders>
          </w:tcPr>
          <w:p w:rsidR="00006B17" w:rsidRPr="00501C8E" w:rsidRDefault="00004F31" w:rsidP="00DA015A">
            <w:pPr>
              <w:jc w:val="right"/>
              <w:rPr>
                <w:rFonts w:ascii="Arial" w:hAnsi="Arial" w:cs="Arial"/>
                <w:sz w:val="22"/>
                <w:szCs w:val="22"/>
                <w:lang w:eastAsia="en-GB"/>
              </w:rPr>
            </w:pPr>
            <w:r w:rsidRPr="00501C8E">
              <w:rPr>
                <w:rFonts w:ascii="Arial" w:hAnsi="Arial" w:cs="Arial"/>
                <w:sz w:val="22"/>
                <w:szCs w:val="22"/>
                <w:lang w:eastAsia="en-GB"/>
              </w:rPr>
              <w:t>(</w:t>
            </w:r>
            <w:r w:rsidR="00DA015A" w:rsidRPr="00501C8E">
              <w:rPr>
                <w:rFonts w:ascii="Arial" w:hAnsi="Arial" w:cs="Arial"/>
                <w:sz w:val="22"/>
                <w:szCs w:val="22"/>
                <w:lang w:eastAsia="en-GB"/>
              </w:rPr>
              <w:t>909</w:t>
            </w:r>
            <w:r w:rsidRPr="00501C8E">
              <w:rPr>
                <w:rFonts w:ascii="Arial" w:hAnsi="Arial" w:cs="Arial"/>
                <w:sz w:val="22"/>
                <w:szCs w:val="22"/>
                <w:lang w:eastAsia="en-GB"/>
              </w:rPr>
              <w:t>)</w:t>
            </w:r>
          </w:p>
        </w:tc>
        <w:tc>
          <w:tcPr>
            <w:tcW w:w="1134" w:type="dxa"/>
            <w:tcBorders>
              <w:bottom w:val="dotted" w:sz="4" w:space="0" w:color="auto"/>
            </w:tcBorders>
          </w:tcPr>
          <w:p w:rsidR="00006B17" w:rsidRPr="00501C8E" w:rsidRDefault="00004F31" w:rsidP="007F620C">
            <w:pPr>
              <w:jc w:val="right"/>
              <w:rPr>
                <w:rFonts w:ascii="Arial" w:hAnsi="Arial" w:cs="Arial"/>
                <w:sz w:val="22"/>
                <w:szCs w:val="22"/>
                <w:lang w:eastAsia="en-GB"/>
              </w:rPr>
            </w:pPr>
            <w:r w:rsidRPr="00501C8E">
              <w:rPr>
                <w:rFonts w:ascii="Arial" w:hAnsi="Arial" w:cs="Arial"/>
                <w:sz w:val="22"/>
                <w:szCs w:val="22"/>
                <w:lang w:eastAsia="en-GB"/>
              </w:rPr>
              <w:t>(</w:t>
            </w:r>
            <w:r w:rsidR="00405D66" w:rsidRPr="00501C8E">
              <w:rPr>
                <w:rFonts w:ascii="Arial" w:hAnsi="Arial" w:cs="Arial"/>
                <w:sz w:val="22"/>
                <w:szCs w:val="22"/>
                <w:lang w:eastAsia="en-GB"/>
              </w:rPr>
              <w:t>7</w:t>
            </w:r>
            <w:r w:rsidRPr="00501C8E">
              <w:rPr>
                <w:rFonts w:ascii="Arial" w:hAnsi="Arial" w:cs="Arial"/>
                <w:sz w:val="22"/>
                <w:szCs w:val="22"/>
                <w:lang w:eastAsia="en-GB"/>
              </w:rPr>
              <w:t>,</w:t>
            </w:r>
            <w:r w:rsidR="00405D66" w:rsidRPr="00501C8E">
              <w:rPr>
                <w:rFonts w:ascii="Arial" w:hAnsi="Arial" w:cs="Arial"/>
                <w:sz w:val="22"/>
                <w:szCs w:val="22"/>
                <w:lang w:eastAsia="en-GB"/>
              </w:rPr>
              <w:t>94</w:t>
            </w:r>
            <w:r w:rsidR="007F620C" w:rsidRPr="00501C8E">
              <w:rPr>
                <w:rFonts w:ascii="Arial" w:hAnsi="Arial" w:cs="Arial"/>
                <w:sz w:val="22"/>
                <w:szCs w:val="22"/>
                <w:lang w:eastAsia="en-GB"/>
              </w:rPr>
              <w:t>2</w:t>
            </w:r>
            <w:r w:rsidRPr="00501C8E">
              <w:rPr>
                <w:rFonts w:ascii="Arial" w:hAnsi="Arial" w:cs="Arial"/>
                <w:sz w:val="22"/>
                <w:szCs w:val="22"/>
                <w:lang w:eastAsia="en-GB"/>
              </w:rPr>
              <w:t>)</w:t>
            </w:r>
          </w:p>
        </w:tc>
        <w:tc>
          <w:tcPr>
            <w:tcW w:w="1242" w:type="dxa"/>
            <w:tcBorders>
              <w:bottom w:val="dotted" w:sz="4" w:space="0" w:color="auto"/>
            </w:tcBorders>
            <w:shd w:val="clear" w:color="auto" w:fill="auto"/>
            <w:noWrap/>
          </w:tcPr>
          <w:p w:rsidR="00006B17" w:rsidRPr="00501C8E" w:rsidRDefault="00004F31" w:rsidP="007F620C">
            <w:pPr>
              <w:jc w:val="right"/>
              <w:rPr>
                <w:rFonts w:ascii="Arial" w:hAnsi="Arial" w:cs="Arial"/>
                <w:b/>
                <w:sz w:val="22"/>
                <w:szCs w:val="22"/>
                <w:lang w:eastAsia="en-GB"/>
              </w:rPr>
            </w:pPr>
            <w:r w:rsidRPr="00501C8E">
              <w:rPr>
                <w:rFonts w:ascii="Arial" w:hAnsi="Arial" w:cs="Arial"/>
                <w:b/>
                <w:sz w:val="22"/>
                <w:szCs w:val="22"/>
                <w:lang w:eastAsia="en-GB"/>
              </w:rPr>
              <w:t>(</w:t>
            </w:r>
            <w:r w:rsidR="00405D66" w:rsidRPr="00501C8E">
              <w:rPr>
                <w:rFonts w:ascii="Arial" w:hAnsi="Arial" w:cs="Arial"/>
                <w:b/>
                <w:sz w:val="22"/>
                <w:szCs w:val="22"/>
                <w:lang w:eastAsia="en-GB"/>
              </w:rPr>
              <w:t>8,85</w:t>
            </w:r>
            <w:r w:rsidR="007F620C" w:rsidRPr="00501C8E">
              <w:rPr>
                <w:rFonts w:ascii="Arial" w:hAnsi="Arial" w:cs="Arial"/>
                <w:b/>
                <w:sz w:val="22"/>
                <w:szCs w:val="22"/>
                <w:lang w:eastAsia="en-GB"/>
              </w:rPr>
              <w:t>1</w:t>
            </w:r>
            <w:r w:rsidRPr="00501C8E">
              <w:rPr>
                <w:rFonts w:ascii="Arial" w:hAnsi="Arial" w:cs="Arial"/>
                <w:b/>
                <w:sz w:val="22"/>
                <w:szCs w:val="22"/>
                <w:lang w:eastAsia="en-GB"/>
              </w:rPr>
              <w:t>)</w:t>
            </w:r>
          </w:p>
        </w:tc>
      </w:tr>
      <w:tr w:rsidR="00006B17" w:rsidRPr="00501C8E" w:rsidTr="00E44A37">
        <w:trPr>
          <w:trHeight w:val="255"/>
        </w:trPr>
        <w:tc>
          <w:tcPr>
            <w:tcW w:w="3958" w:type="dxa"/>
            <w:tcBorders>
              <w:bottom w:val="dotted" w:sz="4" w:space="0" w:color="auto"/>
            </w:tcBorders>
            <w:shd w:val="clear" w:color="auto" w:fill="auto"/>
            <w:noWrap/>
            <w:vAlign w:val="bottom"/>
          </w:tcPr>
          <w:p w:rsidR="00006B17" w:rsidRPr="00501C8E" w:rsidRDefault="00006B17" w:rsidP="00F21659">
            <w:pPr>
              <w:tabs>
                <w:tab w:val="left" w:pos="522"/>
              </w:tabs>
              <w:ind w:left="162"/>
              <w:rPr>
                <w:rStyle w:val="endsenrhsennumparatext"/>
                <w:rFonts w:ascii="Arial" w:hAnsi="Arial" w:cs="Arial"/>
                <w:sz w:val="22"/>
                <w:szCs w:val="22"/>
                <w:lang w:val="en"/>
              </w:rPr>
            </w:pPr>
          </w:p>
        </w:tc>
        <w:tc>
          <w:tcPr>
            <w:tcW w:w="1276" w:type="dxa"/>
            <w:tcBorders>
              <w:bottom w:val="dotted" w:sz="4" w:space="0" w:color="auto"/>
            </w:tcBorders>
            <w:shd w:val="clear" w:color="auto" w:fill="auto"/>
            <w:noWrap/>
          </w:tcPr>
          <w:p w:rsidR="00006B17" w:rsidRPr="00501C8E" w:rsidRDefault="00006B17" w:rsidP="00F21659">
            <w:pPr>
              <w:jc w:val="right"/>
              <w:rPr>
                <w:rFonts w:ascii="Arial" w:hAnsi="Arial" w:cs="Arial"/>
                <w:sz w:val="22"/>
                <w:szCs w:val="22"/>
                <w:lang w:eastAsia="en-GB"/>
              </w:rPr>
            </w:pPr>
          </w:p>
        </w:tc>
        <w:tc>
          <w:tcPr>
            <w:tcW w:w="1417" w:type="dxa"/>
            <w:tcBorders>
              <w:bottom w:val="single" w:sz="4" w:space="0" w:color="auto"/>
            </w:tcBorders>
          </w:tcPr>
          <w:p w:rsidR="00006B17" w:rsidRPr="00501C8E" w:rsidRDefault="00006B17" w:rsidP="007A438E">
            <w:pPr>
              <w:jc w:val="right"/>
              <w:rPr>
                <w:rFonts w:ascii="Arial" w:hAnsi="Arial" w:cs="Arial"/>
                <w:sz w:val="22"/>
                <w:szCs w:val="22"/>
                <w:lang w:eastAsia="en-GB"/>
              </w:rPr>
            </w:pPr>
          </w:p>
        </w:tc>
        <w:tc>
          <w:tcPr>
            <w:tcW w:w="1134" w:type="dxa"/>
            <w:tcBorders>
              <w:bottom w:val="single" w:sz="4" w:space="0" w:color="auto"/>
            </w:tcBorders>
          </w:tcPr>
          <w:p w:rsidR="00006B17" w:rsidRPr="00501C8E" w:rsidRDefault="00006B17" w:rsidP="007A438E">
            <w:pPr>
              <w:jc w:val="right"/>
              <w:rPr>
                <w:rFonts w:ascii="Arial" w:hAnsi="Arial" w:cs="Arial"/>
                <w:sz w:val="22"/>
                <w:szCs w:val="22"/>
                <w:lang w:eastAsia="en-GB"/>
              </w:rPr>
            </w:pPr>
          </w:p>
        </w:tc>
        <w:tc>
          <w:tcPr>
            <w:tcW w:w="1242" w:type="dxa"/>
            <w:tcBorders>
              <w:bottom w:val="single" w:sz="4" w:space="0" w:color="auto"/>
            </w:tcBorders>
            <w:shd w:val="clear" w:color="auto" w:fill="auto"/>
            <w:noWrap/>
          </w:tcPr>
          <w:p w:rsidR="00006B17" w:rsidRPr="00501C8E" w:rsidRDefault="00006B17" w:rsidP="007A438E">
            <w:pPr>
              <w:jc w:val="right"/>
              <w:rPr>
                <w:rFonts w:ascii="Arial" w:hAnsi="Arial" w:cs="Arial"/>
                <w:b/>
                <w:sz w:val="22"/>
                <w:szCs w:val="22"/>
                <w:lang w:eastAsia="en-GB"/>
              </w:rPr>
            </w:pPr>
          </w:p>
        </w:tc>
      </w:tr>
      <w:tr w:rsidR="00006B17" w:rsidRPr="00501C8E" w:rsidTr="00E44A37">
        <w:trPr>
          <w:trHeight w:val="255"/>
        </w:trPr>
        <w:tc>
          <w:tcPr>
            <w:tcW w:w="3958" w:type="dxa"/>
            <w:tcBorders>
              <w:top w:val="dotted" w:sz="4" w:space="0" w:color="auto"/>
            </w:tcBorders>
            <w:shd w:val="clear" w:color="auto" w:fill="auto"/>
            <w:noWrap/>
            <w:vAlign w:val="bottom"/>
          </w:tcPr>
          <w:p w:rsidR="00006B17" w:rsidRPr="00501C8E" w:rsidRDefault="00006B17" w:rsidP="00A365B4">
            <w:pPr>
              <w:tabs>
                <w:tab w:val="left" w:pos="522"/>
              </w:tabs>
              <w:ind w:left="162"/>
              <w:rPr>
                <w:rStyle w:val="endsenrhsennumparatext"/>
                <w:rFonts w:ascii="Arial" w:hAnsi="Arial" w:cs="Arial"/>
                <w:b/>
                <w:sz w:val="22"/>
                <w:szCs w:val="22"/>
                <w:lang w:val="en"/>
              </w:rPr>
            </w:pPr>
            <w:r w:rsidRPr="00501C8E">
              <w:rPr>
                <w:rStyle w:val="endsenrhsennumparatext"/>
                <w:rFonts w:ascii="Arial" w:hAnsi="Arial" w:cs="Arial"/>
                <w:b/>
                <w:sz w:val="22"/>
                <w:szCs w:val="22"/>
                <w:lang w:val="en"/>
              </w:rPr>
              <w:t>Projected Receipts at 31 March 2017</w:t>
            </w:r>
          </w:p>
        </w:tc>
        <w:tc>
          <w:tcPr>
            <w:tcW w:w="1276" w:type="dxa"/>
            <w:tcBorders>
              <w:top w:val="single" w:sz="4" w:space="0" w:color="auto"/>
              <w:bottom w:val="single" w:sz="4" w:space="0" w:color="auto"/>
              <w:right w:val="dotted" w:sz="4" w:space="0" w:color="auto"/>
            </w:tcBorders>
            <w:shd w:val="clear" w:color="auto" w:fill="auto"/>
            <w:noWrap/>
          </w:tcPr>
          <w:p w:rsidR="00006B17" w:rsidRPr="00501C8E" w:rsidRDefault="00004F31" w:rsidP="00122E64">
            <w:pPr>
              <w:jc w:val="right"/>
              <w:rPr>
                <w:rFonts w:ascii="Arial" w:hAnsi="Arial" w:cs="Arial"/>
                <w:b/>
                <w:sz w:val="22"/>
                <w:szCs w:val="22"/>
                <w:lang w:eastAsia="en-GB"/>
              </w:rPr>
            </w:pPr>
            <w:r w:rsidRPr="00501C8E">
              <w:rPr>
                <w:rFonts w:ascii="Arial" w:hAnsi="Arial" w:cs="Arial"/>
                <w:b/>
                <w:sz w:val="22"/>
                <w:szCs w:val="22"/>
                <w:lang w:eastAsia="en-GB"/>
              </w:rPr>
              <w:t>2,472</w:t>
            </w:r>
          </w:p>
        </w:tc>
        <w:tc>
          <w:tcPr>
            <w:tcW w:w="1417" w:type="dxa"/>
            <w:tcBorders>
              <w:top w:val="single" w:sz="4" w:space="0" w:color="auto"/>
              <w:left w:val="dotted" w:sz="4" w:space="0" w:color="auto"/>
              <w:bottom w:val="single" w:sz="4" w:space="0" w:color="auto"/>
              <w:right w:val="dotted" w:sz="4" w:space="0" w:color="auto"/>
            </w:tcBorders>
          </w:tcPr>
          <w:p w:rsidR="00006B17" w:rsidRPr="00501C8E" w:rsidRDefault="00004F31" w:rsidP="00DA015A">
            <w:pPr>
              <w:jc w:val="right"/>
              <w:rPr>
                <w:rFonts w:ascii="Arial" w:hAnsi="Arial" w:cs="Arial"/>
                <w:b/>
                <w:sz w:val="22"/>
                <w:szCs w:val="22"/>
                <w:lang w:eastAsia="en-GB"/>
              </w:rPr>
            </w:pPr>
            <w:r w:rsidRPr="00501C8E">
              <w:rPr>
                <w:rFonts w:ascii="Arial" w:hAnsi="Arial" w:cs="Arial"/>
                <w:b/>
                <w:sz w:val="22"/>
                <w:szCs w:val="22"/>
                <w:lang w:eastAsia="en-GB"/>
              </w:rPr>
              <w:t>3,</w:t>
            </w:r>
            <w:r w:rsidR="00DA015A" w:rsidRPr="00501C8E">
              <w:rPr>
                <w:rFonts w:ascii="Arial" w:hAnsi="Arial" w:cs="Arial"/>
                <w:b/>
                <w:sz w:val="22"/>
                <w:szCs w:val="22"/>
                <w:lang w:eastAsia="en-GB"/>
              </w:rPr>
              <w:t>107</w:t>
            </w:r>
          </w:p>
        </w:tc>
        <w:tc>
          <w:tcPr>
            <w:tcW w:w="1134" w:type="dxa"/>
            <w:tcBorders>
              <w:top w:val="single" w:sz="4" w:space="0" w:color="auto"/>
              <w:left w:val="dotted" w:sz="4" w:space="0" w:color="auto"/>
              <w:bottom w:val="single" w:sz="4" w:space="0" w:color="auto"/>
              <w:right w:val="dotted" w:sz="4" w:space="0" w:color="auto"/>
            </w:tcBorders>
          </w:tcPr>
          <w:p w:rsidR="00006B17" w:rsidRPr="00501C8E" w:rsidRDefault="00004F31" w:rsidP="007A438E">
            <w:pPr>
              <w:jc w:val="right"/>
              <w:rPr>
                <w:rFonts w:ascii="Arial" w:hAnsi="Arial" w:cs="Arial"/>
                <w:b/>
                <w:sz w:val="22"/>
                <w:szCs w:val="22"/>
                <w:lang w:eastAsia="en-GB"/>
              </w:rPr>
            </w:pPr>
            <w:r w:rsidRPr="00501C8E">
              <w:rPr>
                <w:rFonts w:ascii="Arial" w:hAnsi="Arial" w:cs="Arial"/>
                <w:b/>
                <w:sz w:val="22"/>
                <w:szCs w:val="22"/>
                <w:lang w:eastAsia="en-GB"/>
              </w:rPr>
              <w:t>0</w:t>
            </w:r>
          </w:p>
        </w:tc>
        <w:tc>
          <w:tcPr>
            <w:tcW w:w="1242" w:type="dxa"/>
            <w:tcBorders>
              <w:top w:val="single" w:sz="4" w:space="0" w:color="auto"/>
              <w:left w:val="dotted" w:sz="4" w:space="0" w:color="auto"/>
              <w:bottom w:val="single" w:sz="4" w:space="0" w:color="auto"/>
              <w:right w:val="dotted" w:sz="4" w:space="0" w:color="auto"/>
            </w:tcBorders>
            <w:shd w:val="clear" w:color="auto" w:fill="auto"/>
            <w:noWrap/>
          </w:tcPr>
          <w:p w:rsidR="00006B17" w:rsidRPr="00501C8E" w:rsidRDefault="00405D66" w:rsidP="007A438E">
            <w:pPr>
              <w:jc w:val="right"/>
              <w:rPr>
                <w:rFonts w:ascii="Arial" w:hAnsi="Arial" w:cs="Arial"/>
                <w:b/>
                <w:sz w:val="22"/>
                <w:szCs w:val="22"/>
                <w:lang w:eastAsia="en-GB"/>
              </w:rPr>
            </w:pPr>
            <w:r w:rsidRPr="00501C8E">
              <w:rPr>
                <w:rFonts w:ascii="Arial" w:hAnsi="Arial" w:cs="Arial"/>
                <w:b/>
                <w:sz w:val="22"/>
                <w:szCs w:val="22"/>
                <w:lang w:eastAsia="en-GB"/>
              </w:rPr>
              <w:t>5,579</w:t>
            </w:r>
          </w:p>
        </w:tc>
      </w:tr>
    </w:tbl>
    <w:p w:rsidR="00CE0D28" w:rsidRPr="00501C8E" w:rsidRDefault="00CE0D28" w:rsidP="00F21659">
      <w:pPr>
        <w:tabs>
          <w:tab w:val="left" w:pos="720"/>
        </w:tabs>
        <w:ind w:left="720" w:hanging="720"/>
        <w:rPr>
          <w:rFonts w:ascii="Arial" w:hAnsi="Arial" w:cs="Arial"/>
          <w:sz w:val="22"/>
          <w:szCs w:val="22"/>
        </w:rPr>
      </w:pPr>
    </w:p>
    <w:p w:rsidR="00587456" w:rsidRPr="00501C8E" w:rsidRDefault="002D1C4A" w:rsidP="006F165A">
      <w:pPr>
        <w:tabs>
          <w:tab w:val="left" w:pos="720"/>
        </w:tabs>
        <w:ind w:left="720" w:hanging="720"/>
        <w:rPr>
          <w:rFonts w:ascii="Arial" w:hAnsi="Arial" w:cs="Arial"/>
          <w:sz w:val="22"/>
          <w:szCs w:val="22"/>
        </w:rPr>
      </w:pPr>
      <w:r w:rsidRPr="00501C8E">
        <w:rPr>
          <w:rFonts w:ascii="Arial" w:hAnsi="Arial" w:cs="Arial"/>
          <w:sz w:val="22"/>
          <w:szCs w:val="22"/>
        </w:rPr>
        <w:t>4.5</w:t>
      </w:r>
      <w:r w:rsidRPr="00501C8E">
        <w:rPr>
          <w:rFonts w:ascii="Arial" w:hAnsi="Arial" w:cs="Arial"/>
          <w:sz w:val="22"/>
          <w:szCs w:val="22"/>
        </w:rPr>
        <w:tab/>
      </w:r>
      <w:r w:rsidR="006F165A" w:rsidRPr="00501C8E">
        <w:rPr>
          <w:rFonts w:ascii="Arial" w:hAnsi="Arial" w:cs="Arial"/>
          <w:sz w:val="22"/>
          <w:szCs w:val="22"/>
        </w:rPr>
        <w:t xml:space="preserve">Section 2 of this report </w:t>
      </w:r>
      <w:r w:rsidR="00CE0D28" w:rsidRPr="00501C8E">
        <w:rPr>
          <w:rFonts w:ascii="Arial" w:hAnsi="Arial" w:cs="Arial"/>
          <w:sz w:val="22"/>
          <w:szCs w:val="22"/>
        </w:rPr>
        <w:t xml:space="preserve">highlights the concerns on the revenue budget overspending. </w:t>
      </w:r>
      <w:r w:rsidR="006F165A" w:rsidRPr="00501C8E">
        <w:rPr>
          <w:rFonts w:ascii="Arial" w:hAnsi="Arial" w:cs="Arial"/>
          <w:sz w:val="22"/>
          <w:szCs w:val="22"/>
        </w:rPr>
        <w:t xml:space="preserve"> </w:t>
      </w:r>
      <w:r w:rsidR="00CE0D28" w:rsidRPr="00501C8E">
        <w:rPr>
          <w:rFonts w:ascii="Arial" w:hAnsi="Arial" w:cs="Arial"/>
          <w:sz w:val="22"/>
          <w:szCs w:val="22"/>
        </w:rPr>
        <w:t xml:space="preserve">Short life assets have been funded from capital </w:t>
      </w:r>
      <w:r w:rsidR="001815D3" w:rsidRPr="00501C8E">
        <w:rPr>
          <w:rFonts w:ascii="Arial" w:hAnsi="Arial" w:cs="Arial"/>
          <w:sz w:val="22"/>
          <w:szCs w:val="22"/>
        </w:rPr>
        <w:t>receipts</w:t>
      </w:r>
      <w:r w:rsidR="00CE0D28" w:rsidRPr="00501C8E">
        <w:rPr>
          <w:rFonts w:ascii="Arial" w:hAnsi="Arial" w:cs="Arial"/>
          <w:sz w:val="22"/>
          <w:szCs w:val="22"/>
        </w:rPr>
        <w:t xml:space="preserve"> for a number of years. The aspiration has been to fund these assets from revenue as the Council</w:t>
      </w:r>
      <w:r w:rsidR="006F165A" w:rsidRPr="00501C8E">
        <w:rPr>
          <w:rFonts w:ascii="Arial" w:hAnsi="Arial" w:cs="Arial"/>
          <w:sz w:val="22"/>
          <w:szCs w:val="22"/>
        </w:rPr>
        <w:t>’</w:t>
      </w:r>
      <w:r w:rsidR="00CE0D28" w:rsidRPr="00501C8E">
        <w:rPr>
          <w:rFonts w:ascii="Arial" w:hAnsi="Arial" w:cs="Arial"/>
          <w:sz w:val="22"/>
          <w:szCs w:val="22"/>
        </w:rPr>
        <w:t xml:space="preserve">s property portfolio expanded and the cost pressures are brought under control. </w:t>
      </w:r>
      <w:r w:rsidR="006F165A" w:rsidRPr="00501C8E">
        <w:rPr>
          <w:rFonts w:ascii="Arial" w:hAnsi="Arial" w:cs="Arial"/>
          <w:sz w:val="22"/>
          <w:szCs w:val="22"/>
        </w:rPr>
        <w:t xml:space="preserve"> </w:t>
      </w:r>
      <w:r w:rsidR="00CE0D28" w:rsidRPr="00501C8E">
        <w:rPr>
          <w:rFonts w:ascii="Arial" w:hAnsi="Arial" w:cs="Arial"/>
          <w:sz w:val="22"/>
          <w:szCs w:val="22"/>
        </w:rPr>
        <w:t xml:space="preserve">In the table above the General Fund capital receipts where to be used to reduce borrowing costs and improve the Councils financial position. </w:t>
      </w:r>
    </w:p>
    <w:p w:rsidR="00CE0D28" w:rsidRPr="00501C8E" w:rsidRDefault="00CE0D28" w:rsidP="00F21659">
      <w:pPr>
        <w:tabs>
          <w:tab w:val="left" w:pos="720"/>
        </w:tabs>
        <w:ind w:left="720" w:hanging="720"/>
        <w:rPr>
          <w:rFonts w:ascii="Arial" w:hAnsi="Arial" w:cs="Arial"/>
          <w:sz w:val="22"/>
          <w:szCs w:val="22"/>
        </w:rPr>
      </w:pPr>
    </w:p>
    <w:p w:rsidR="00CE0D28" w:rsidRPr="00501C8E" w:rsidRDefault="00CE0D28" w:rsidP="00F21659">
      <w:pPr>
        <w:tabs>
          <w:tab w:val="left" w:pos="720"/>
        </w:tabs>
        <w:ind w:left="720" w:hanging="720"/>
        <w:rPr>
          <w:rFonts w:ascii="Arial" w:hAnsi="Arial" w:cs="Arial"/>
          <w:sz w:val="22"/>
          <w:szCs w:val="22"/>
        </w:rPr>
      </w:pPr>
      <w:r w:rsidRPr="00501C8E">
        <w:rPr>
          <w:rFonts w:ascii="Arial" w:hAnsi="Arial" w:cs="Arial"/>
          <w:sz w:val="22"/>
          <w:szCs w:val="22"/>
        </w:rPr>
        <w:t>4.6</w:t>
      </w:r>
      <w:r w:rsidRPr="00501C8E">
        <w:rPr>
          <w:rFonts w:ascii="Arial" w:hAnsi="Arial" w:cs="Arial"/>
          <w:sz w:val="22"/>
          <w:szCs w:val="22"/>
        </w:rPr>
        <w:tab/>
        <w:t>The Corporate Head of Resources feels this strategy is too high</w:t>
      </w:r>
      <w:r w:rsidR="006F165A" w:rsidRPr="00501C8E">
        <w:rPr>
          <w:rFonts w:ascii="Arial" w:hAnsi="Arial" w:cs="Arial"/>
          <w:sz w:val="22"/>
          <w:szCs w:val="22"/>
        </w:rPr>
        <w:t xml:space="preserve"> a</w:t>
      </w:r>
      <w:r w:rsidRPr="00501C8E">
        <w:rPr>
          <w:rFonts w:ascii="Arial" w:hAnsi="Arial" w:cs="Arial"/>
          <w:sz w:val="22"/>
          <w:szCs w:val="22"/>
        </w:rPr>
        <w:t xml:space="preserve"> risk for the next two financial years</w:t>
      </w:r>
      <w:r w:rsidR="001815D3" w:rsidRPr="00501C8E">
        <w:rPr>
          <w:rFonts w:ascii="Arial" w:hAnsi="Arial" w:cs="Arial"/>
          <w:sz w:val="22"/>
          <w:szCs w:val="22"/>
        </w:rPr>
        <w:t xml:space="preserve"> as the scope for using revenue resources to fund short life assets will increase spending in the re</w:t>
      </w:r>
      <w:r w:rsidR="006F165A" w:rsidRPr="00501C8E">
        <w:rPr>
          <w:rFonts w:ascii="Arial" w:hAnsi="Arial" w:cs="Arial"/>
          <w:sz w:val="22"/>
          <w:szCs w:val="22"/>
        </w:rPr>
        <w:t>venue account. For that reason M</w:t>
      </w:r>
      <w:r w:rsidR="001815D3" w:rsidRPr="00501C8E">
        <w:rPr>
          <w:rFonts w:ascii="Arial" w:hAnsi="Arial" w:cs="Arial"/>
          <w:sz w:val="22"/>
          <w:szCs w:val="22"/>
        </w:rPr>
        <w:t xml:space="preserve">embers </w:t>
      </w:r>
      <w:r w:rsidR="00B7185D" w:rsidRPr="00501C8E">
        <w:rPr>
          <w:rFonts w:ascii="Arial" w:hAnsi="Arial" w:cs="Arial"/>
          <w:sz w:val="22"/>
          <w:szCs w:val="22"/>
        </w:rPr>
        <w:t>will be asked in</w:t>
      </w:r>
      <w:r w:rsidR="001815D3" w:rsidRPr="00501C8E">
        <w:rPr>
          <w:rFonts w:ascii="Arial" w:hAnsi="Arial" w:cs="Arial"/>
          <w:sz w:val="22"/>
          <w:szCs w:val="22"/>
        </w:rPr>
        <w:t xml:space="preserve"> the next version of the Capital Strategy and MTFS</w:t>
      </w:r>
      <w:r w:rsidR="00B7185D" w:rsidRPr="00501C8E">
        <w:rPr>
          <w:rFonts w:ascii="Arial" w:hAnsi="Arial" w:cs="Arial"/>
          <w:sz w:val="22"/>
          <w:szCs w:val="22"/>
        </w:rPr>
        <w:t xml:space="preserve">, to </w:t>
      </w:r>
      <w:r w:rsidR="001815D3" w:rsidRPr="00501C8E">
        <w:rPr>
          <w:rFonts w:ascii="Arial" w:hAnsi="Arial" w:cs="Arial"/>
          <w:sz w:val="22"/>
          <w:szCs w:val="22"/>
        </w:rPr>
        <w:t xml:space="preserve">increase borrowing by £7.9 million and </w:t>
      </w:r>
      <w:r w:rsidR="00B7185D" w:rsidRPr="00501C8E">
        <w:rPr>
          <w:rFonts w:ascii="Arial" w:hAnsi="Arial" w:cs="Arial"/>
          <w:sz w:val="22"/>
          <w:szCs w:val="22"/>
        </w:rPr>
        <w:t xml:space="preserve">to retain </w:t>
      </w:r>
      <w:r w:rsidR="001815D3" w:rsidRPr="00501C8E">
        <w:rPr>
          <w:rFonts w:ascii="Arial" w:hAnsi="Arial" w:cs="Arial"/>
          <w:sz w:val="22"/>
          <w:szCs w:val="22"/>
        </w:rPr>
        <w:t>capital receipts</w:t>
      </w:r>
      <w:r w:rsidR="00B7185D" w:rsidRPr="00501C8E">
        <w:rPr>
          <w:rFonts w:ascii="Arial" w:hAnsi="Arial" w:cs="Arial"/>
          <w:sz w:val="22"/>
          <w:szCs w:val="22"/>
        </w:rPr>
        <w:t xml:space="preserve"> </w:t>
      </w:r>
      <w:r w:rsidR="001815D3" w:rsidRPr="00501C8E">
        <w:rPr>
          <w:rFonts w:ascii="Arial" w:hAnsi="Arial" w:cs="Arial"/>
          <w:sz w:val="22"/>
          <w:szCs w:val="22"/>
        </w:rPr>
        <w:t>to fund the acquisition of plant and equipment through to 2020.</w:t>
      </w:r>
    </w:p>
    <w:p w:rsidR="000E39AD" w:rsidRPr="00501C8E" w:rsidRDefault="000E39AD" w:rsidP="00F21659">
      <w:pPr>
        <w:tabs>
          <w:tab w:val="left" w:pos="720"/>
        </w:tabs>
        <w:ind w:left="720" w:hanging="720"/>
        <w:rPr>
          <w:rFonts w:ascii="Arial" w:hAnsi="Arial" w:cs="Arial"/>
          <w:sz w:val="22"/>
          <w:szCs w:val="22"/>
          <w:highlight w:val="yellow"/>
        </w:rPr>
      </w:pPr>
    </w:p>
    <w:p w:rsidR="000E55E7" w:rsidRPr="00501C8E" w:rsidRDefault="002A2F0E" w:rsidP="00FF5AB8">
      <w:pPr>
        <w:tabs>
          <w:tab w:val="left" w:pos="720"/>
        </w:tabs>
        <w:ind w:left="720" w:hanging="720"/>
        <w:rPr>
          <w:rFonts w:ascii="Arial" w:hAnsi="Arial" w:cs="Arial"/>
          <w:b/>
          <w:sz w:val="22"/>
          <w:szCs w:val="22"/>
          <w:u w:val="single"/>
        </w:rPr>
      </w:pPr>
      <w:r w:rsidRPr="00501C8E">
        <w:rPr>
          <w:rFonts w:ascii="Arial" w:hAnsi="Arial" w:cs="Arial"/>
          <w:b/>
          <w:sz w:val="22"/>
          <w:szCs w:val="22"/>
        </w:rPr>
        <w:t>5</w:t>
      </w:r>
      <w:r w:rsidRPr="00501C8E">
        <w:rPr>
          <w:rFonts w:ascii="Arial" w:hAnsi="Arial" w:cs="Arial"/>
          <w:sz w:val="22"/>
          <w:szCs w:val="22"/>
        </w:rPr>
        <w:tab/>
      </w:r>
      <w:r w:rsidRPr="00501C8E">
        <w:rPr>
          <w:rFonts w:ascii="Arial" w:hAnsi="Arial" w:cs="Arial"/>
          <w:b/>
          <w:sz w:val="22"/>
          <w:szCs w:val="22"/>
          <w:u w:val="single"/>
        </w:rPr>
        <w:t>Le</w:t>
      </w:r>
      <w:r w:rsidR="000E55E7" w:rsidRPr="00501C8E">
        <w:rPr>
          <w:rFonts w:ascii="Arial" w:hAnsi="Arial" w:cs="Arial"/>
          <w:b/>
          <w:sz w:val="22"/>
          <w:szCs w:val="22"/>
          <w:u w:val="single"/>
        </w:rPr>
        <w:t>gal Implications</w:t>
      </w:r>
    </w:p>
    <w:p w:rsidR="000E55E7" w:rsidRPr="00501C8E" w:rsidRDefault="000E55E7" w:rsidP="00F21659">
      <w:pPr>
        <w:tabs>
          <w:tab w:val="left" w:pos="720"/>
        </w:tabs>
        <w:ind w:left="720" w:hanging="720"/>
        <w:rPr>
          <w:rFonts w:ascii="Arial" w:hAnsi="Arial" w:cs="Arial"/>
          <w:sz w:val="22"/>
          <w:szCs w:val="22"/>
        </w:rPr>
      </w:pPr>
    </w:p>
    <w:p w:rsidR="000E55E7" w:rsidRPr="00501C8E" w:rsidRDefault="002A2F0E" w:rsidP="00F21659">
      <w:pPr>
        <w:tabs>
          <w:tab w:val="left" w:pos="720"/>
        </w:tabs>
        <w:ind w:left="709" w:hanging="709"/>
        <w:rPr>
          <w:rStyle w:val="endsenrhsennumparatext"/>
          <w:rFonts w:ascii="Arial" w:hAnsi="Arial" w:cs="Arial"/>
          <w:sz w:val="22"/>
          <w:szCs w:val="22"/>
          <w:lang w:val="en"/>
        </w:rPr>
      </w:pPr>
      <w:r w:rsidRPr="00501C8E">
        <w:rPr>
          <w:rFonts w:ascii="Arial" w:hAnsi="Arial" w:cs="Arial"/>
          <w:sz w:val="22"/>
          <w:szCs w:val="22"/>
        </w:rPr>
        <w:t>5</w:t>
      </w:r>
      <w:r w:rsidR="00BE41E8" w:rsidRPr="00501C8E">
        <w:rPr>
          <w:rFonts w:ascii="Arial" w:hAnsi="Arial" w:cs="Arial"/>
          <w:sz w:val="22"/>
          <w:szCs w:val="22"/>
        </w:rPr>
        <w:t>.1</w:t>
      </w:r>
      <w:r w:rsidR="00BE41E8" w:rsidRPr="00501C8E">
        <w:rPr>
          <w:rFonts w:ascii="Arial" w:hAnsi="Arial" w:cs="Arial"/>
          <w:sz w:val="22"/>
          <w:szCs w:val="22"/>
        </w:rPr>
        <w:tab/>
      </w:r>
      <w:r w:rsidR="00640D02" w:rsidRPr="00501C8E">
        <w:rPr>
          <w:rFonts w:ascii="Arial" w:hAnsi="Arial" w:cs="Arial"/>
          <w:sz w:val="22"/>
          <w:szCs w:val="22"/>
        </w:rPr>
        <w:t>Section 28 of the Local Government Act 2003</w:t>
      </w:r>
      <w:r w:rsidR="00F45064" w:rsidRPr="00501C8E">
        <w:rPr>
          <w:rFonts w:ascii="Arial" w:hAnsi="Arial" w:cs="Arial"/>
          <w:sz w:val="22"/>
          <w:szCs w:val="22"/>
        </w:rPr>
        <w:t xml:space="preserve"> requires authorities</w:t>
      </w:r>
      <w:r w:rsidR="00640D02" w:rsidRPr="00501C8E">
        <w:rPr>
          <w:rFonts w:ascii="Arial" w:hAnsi="Arial" w:cs="Arial"/>
          <w:sz w:val="22"/>
          <w:szCs w:val="22"/>
          <w:lang w:val="en"/>
        </w:rPr>
        <w:t xml:space="preserve"> </w:t>
      </w:r>
      <w:r w:rsidR="00640D02" w:rsidRPr="00501C8E">
        <w:rPr>
          <w:rStyle w:val="endsenrhsennumparatext"/>
          <w:rFonts w:ascii="Arial" w:hAnsi="Arial" w:cs="Arial"/>
          <w:sz w:val="22"/>
          <w:szCs w:val="22"/>
          <w:lang w:val="en"/>
        </w:rPr>
        <w:t>to monitor their income and expenditure against their budget, and be ready to take action if overspends or shortfalls in income emerge.  If monitoring establishes that the budgetary situation has deteriorated, authorities are required to take such action as they consider necessary. This might include, for instance, action to reduce spending in the rest of the year, or to increase income, or the authority might decide to take no action but to finance the shortfall from reserves.</w:t>
      </w:r>
    </w:p>
    <w:p w:rsidR="002D5D49" w:rsidRPr="00501C8E" w:rsidRDefault="002D5D49" w:rsidP="00F21659">
      <w:pPr>
        <w:tabs>
          <w:tab w:val="left" w:pos="720"/>
        </w:tabs>
        <w:rPr>
          <w:rStyle w:val="endsenrhsennumparatext"/>
          <w:rFonts w:ascii="Arial" w:hAnsi="Arial" w:cs="Arial"/>
          <w:sz w:val="22"/>
          <w:szCs w:val="22"/>
          <w:lang w:val="en"/>
        </w:rPr>
      </w:pPr>
    </w:p>
    <w:p w:rsidR="00557E4B" w:rsidRPr="00501C8E" w:rsidRDefault="002A2F0E" w:rsidP="00F21659">
      <w:pPr>
        <w:tabs>
          <w:tab w:val="left" w:pos="720"/>
        </w:tabs>
        <w:rPr>
          <w:rStyle w:val="endsenrhsennumparatext"/>
          <w:rFonts w:ascii="Arial" w:hAnsi="Arial" w:cs="Arial"/>
          <w:b/>
          <w:sz w:val="22"/>
          <w:szCs w:val="22"/>
          <w:lang w:val="en"/>
        </w:rPr>
      </w:pPr>
      <w:r w:rsidRPr="00501C8E">
        <w:rPr>
          <w:rStyle w:val="endsenrhsennumparatext"/>
          <w:rFonts w:ascii="Arial" w:hAnsi="Arial" w:cs="Arial"/>
          <w:b/>
          <w:sz w:val="22"/>
          <w:szCs w:val="22"/>
          <w:lang w:val="en"/>
        </w:rPr>
        <w:t>6</w:t>
      </w:r>
      <w:r w:rsidR="00557E4B" w:rsidRPr="00501C8E">
        <w:rPr>
          <w:rStyle w:val="endsenrhsennumparatext"/>
          <w:rFonts w:ascii="Arial" w:hAnsi="Arial" w:cs="Arial"/>
          <w:b/>
          <w:sz w:val="22"/>
          <w:szCs w:val="22"/>
          <w:lang w:val="en"/>
        </w:rPr>
        <w:tab/>
      </w:r>
      <w:r w:rsidR="00557E4B" w:rsidRPr="00501C8E">
        <w:rPr>
          <w:rStyle w:val="endsenrhsennumparatext"/>
          <w:rFonts w:ascii="Arial" w:hAnsi="Arial" w:cs="Arial"/>
          <w:b/>
          <w:sz w:val="22"/>
          <w:szCs w:val="22"/>
          <w:u w:val="single"/>
          <w:lang w:val="en"/>
        </w:rPr>
        <w:t>Conclusion</w:t>
      </w:r>
    </w:p>
    <w:p w:rsidR="00557E4B" w:rsidRPr="00501C8E" w:rsidRDefault="00557E4B" w:rsidP="00F21659">
      <w:pPr>
        <w:tabs>
          <w:tab w:val="left" w:pos="720"/>
        </w:tabs>
        <w:rPr>
          <w:rStyle w:val="endsenrhsennumparatext"/>
          <w:rFonts w:ascii="Arial" w:hAnsi="Arial" w:cs="Arial"/>
          <w:b/>
          <w:sz w:val="22"/>
          <w:szCs w:val="22"/>
          <w:u w:val="single"/>
          <w:lang w:val="en"/>
        </w:rPr>
      </w:pPr>
    </w:p>
    <w:p w:rsidR="00FF2F47" w:rsidRPr="00501C8E" w:rsidRDefault="002A2F0E" w:rsidP="00217302">
      <w:pPr>
        <w:ind w:left="709" w:hanging="709"/>
        <w:rPr>
          <w:rStyle w:val="endsenrhsennumparatext"/>
          <w:rFonts w:ascii="Arial" w:hAnsi="Arial" w:cs="Arial"/>
          <w:sz w:val="22"/>
          <w:szCs w:val="22"/>
          <w:lang w:val="en"/>
        </w:rPr>
      </w:pPr>
      <w:r w:rsidRPr="00501C8E">
        <w:rPr>
          <w:rStyle w:val="endsenrhsennumparatext"/>
          <w:rFonts w:ascii="Arial" w:hAnsi="Arial" w:cs="Arial"/>
          <w:sz w:val="22"/>
          <w:szCs w:val="22"/>
          <w:lang w:val="en"/>
        </w:rPr>
        <w:t>6</w:t>
      </w:r>
      <w:r w:rsidR="00557E4B" w:rsidRPr="00501C8E">
        <w:rPr>
          <w:rStyle w:val="endsenrhsennumparatext"/>
          <w:rFonts w:ascii="Arial" w:hAnsi="Arial" w:cs="Arial"/>
          <w:sz w:val="22"/>
          <w:szCs w:val="22"/>
          <w:lang w:val="en"/>
        </w:rPr>
        <w:t>.1</w:t>
      </w:r>
      <w:r w:rsidR="00557E4B" w:rsidRPr="00501C8E">
        <w:rPr>
          <w:rStyle w:val="endsenrhsennumparatext"/>
          <w:rFonts w:ascii="Arial" w:hAnsi="Arial" w:cs="Arial"/>
          <w:sz w:val="22"/>
          <w:szCs w:val="22"/>
          <w:lang w:val="en"/>
        </w:rPr>
        <w:tab/>
      </w:r>
      <w:r w:rsidR="00FF2F47" w:rsidRPr="00501C8E">
        <w:rPr>
          <w:rStyle w:val="endsenrhsennumparatext"/>
          <w:rFonts w:ascii="Arial" w:hAnsi="Arial" w:cs="Arial"/>
          <w:sz w:val="22"/>
          <w:szCs w:val="22"/>
          <w:lang w:val="en"/>
        </w:rPr>
        <w:t>The projected use of balances shown in Table 1 of the report shows a</w:t>
      </w:r>
      <w:r w:rsidR="006F797F" w:rsidRPr="00501C8E">
        <w:rPr>
          <w:rStyle w:val="endsenrhsennumparatext"/>
          <w:rFonts w:ascii="Arial" w:hAnsi="Arial" w:cs="Arial"/>
          <w:sz w:val="22"/>
          <w:szCs w:val="22"/>
          <w:lang w:val="en"/>
        </w:rPr>
        <w:t xml:space="preserve">n increase of </w:t>
      </w:r>
      <w:r w:rsidR="00FF2F47" w:rsidRPr="00501C8E">
        <w:rPr>
          <w:rStyle w:val="endsenrhsennumparatext"/>
          <w:rFonts w:ascii="Arial" w:hAnsi="Arial" w:cs="Arial"/>
          <w:sz w:val="22"/>
          <w:szCs w:val="22"/>
          <w:lang w:val="en"/>
        </w:rPr>
        <w:t>£8</w:t>
      </w:r>
      <w:r w:rsidR="000E2C63" w:rsidRPr="00501C8E">
        <w:rPr>
          <w:rStyle w:val="endsenrhsennumparatext"/>
          <w:rFonts w:ascii="Arial" w:hAnsi="Arial" w:cs="Arial"/>
          <w:sz w:val="22"/>
          <w:szCs w:val="22"/>
          <w:lang w:val="en"/>
        </w:rPr>
        <w:t>85</w:t>
      </w:r>
      <w:r w:rsidR="00FF2F47" w:rsidRPr="00501C8E">
        <w:rPr>
          <w:rStyle w:val="endsenrhsennumparatext"/>
          <w:rFonts w:ascii="Arial" w:hAnsi="Arial" w:cs="Arial"/>
          <w:sz w:val="22"/>
          <w:szCs w:val="22"/>
          <w:lang w:val="en"/>
        </w:rPr>
        <w:t>,000</w:t>
      </w:r>
      <w:r w:rsidR="00C253E0" w:rsidRPr="00501C8E">
        <w:rPr>
          <w:rStyle w:val="endsenrhsennumparatext"/>
          <w:rFonts w:ascii="Arial" w:hAnsi="Arial" w:cs="Arial"/>
          <w:sz w:val="22"/>
          <w:szCs w:val="22"/>
          <w:lang w:val="en"/>
        </w:rPr>
        <w:t xml:space="preserve"> to over £2.2 </w:t>
      </w:r>
      <w:r w:rsidR="00C50D27" w:rsidRPr="00501C8E">
        <w:rPr>
          <w:rStyle w:val="endsenrhsennumparatext"/>
          <w:rFonts w:ascii="Arial" w:hAnsi="Arial" w:cs="Arial"/>
          <w:sz w:val="22"/>
          <w:szCs w:val="22"/>
          <w:lang w:val="en"/>
        </w:rPr>
        <w:t>million based</w:t>
      </w:r>
      <w:r w:rsidR="0036404A" w:rsidRPr="00501C8E">
        <w:rPr>
          <w:rStyle w:val="endsenrhsennumparatext"/>
          <w:rFonts w:ascii="Arial" w:hAnsi="Arial" w:cs="Arial"/>
          <w:sz w:val="22"/>
          <w:szCs w:val="22"/>
          <w:lang w:val="en"/>
        </w:rPr>
        <w:t xml:space="preserve"> on information at 30 </w:t>
      </w:r>
      <w:r w:rsidR="00A37B8A" w:rsidRPr="00501C8E">
        <w:rPr>
          <w:rStyle w:val="endsenrhsennumparatext"/>
          <w:rFonts w:ascii="Arial" w:hAnsi="Arial" w:cs="Arial"/>
          <w:sz w:val="22"/>
          <w:szCs w:val="22"/>
          <w:lang w:val="en"/>
        </w:rPr>
        <w:t>September</w:t>
      </w:r>
      <w:r w:rsidR="0036404A" w:rsidRPr="00501C8E">
        <w:rPr>
          <w:rStyle w:val="endsenrhsennumparatext"/>
          <w:rFonts w:ascii="Arial" w:hAnsi="Arial" w:cs="Arial"/>
          <w:sz w:val="22"/>
          <w:szCs w:val="22"/>
          <w:lang w:val="en"/>
        </w:rPr>
        <w:t xml:space="preserve"> 2016</w:t>
      </w:r>
      <w:r w:rsidR="00FF2F47" w:rsidRPr="00501C8E">
        <w:rPr>
          <w:rStyle w:val="endsenrhsennumparatext"/>
          <w:rFonts w:ascii="Arial" w:hAnsi="Arial" w:cs="Arial"/>
          <w:sz w:val="22"/>
          <w:szCs w:val="22"/>
          <w:lang w:val="en"/>
        </w:rPr>
        <w:t xml:space="preserve">.  </w:t>
      </w:r>
      <w:r w:rsidR="006F797F" w:rsidRPr="00501C8E">
        <w:rPr>
          <w:rStyle w:val="endsenrhsennumparatext"/>
          <w:rFonts w:ascii="Arial" w:hAnsi="Arial" w:cs="Arial"/>
          <w:sz w:val="22"/>
          <w:szCs w:val="22"/>
          <w:lang w:val="en"/>
        </w:rPr>
        <w:t xml:space="preserve">Of this sum </w:t>
      </w:r>
      <w:r w:rsidR="006F797F" w:rsidRPr="00501C8E">
        <w:rPr>
          <w:rStyle w:val="endsenrhsennumparatext"/>
          <w:rFonts w:ascii="Arial" w:hAnsi="Arial" w:cs="Arial"/>
          <w:sz w:val="22"/>
          <w:szCs w:val="22"/>
          <w:lang w:val="en"/>
        </w:rPr>
        <w:lastRenderedPageBreak/>
        <w:t>£442,000 relates to feasibility schemes / preliminary works on capital schemes that will be recovered in future years.</w:t>
      </w:r>
      <w:r w:rsidR="00FF2F47" w:rsidRPr="00501C8E">
        <w:rPr>
          <w:rStyle w:val="endsenrhsennumparatext"/>
          <w:rFonts w:ascii="Arial" w:hAnsi="Arial" w:cs="Arial"/>
          <w:sz w:val="22"/>
          <w:szCs w:val="22"/>
          <w:lang w:val="en"/>
        </w:rPr>
        <w:t xml:space="preserve">  </w:t>
      </w:r>
    </w:p>
    <w:p w:rsidR="00FF2F47" w:rsidRPr="00501C8E" w:rsidRDefault="00FF2F47" w:rsidP="00217302">
      <w:pPr>
        <w:ind w:left="709" w:hanging="709"/>
        <w:rPr>
          <w:rStyle w:val="endsenrhsennumparatext"/>
          <w:rFonts w:ascii="Arial" w:hAnsi="Arial" w:cs="Arial"/>
          <w:sz w:val="22"/>
          <w:szCs w:val="22"/>
          <w:lang w:val="en"/>
        </w:rPr>
      </w:pPr>
    </w:p>
    <w:p w:rsidR="006F797F" w:rsidRPr="00501C8E" w:rsidRDefault="0036404A" w:rsidP="00B219C1">
      <w:pPr>
        <w:ind w:left="709" w:hanging="709"/>
        <w:rPr>
          <w:rFonts w:ascii="Arial" w:hAnsi="Arial" w:cs="Arial"/>
          <w:sz w:val="22"/>
          <w:szCs w:val="22"/>
        </w:rPr>
      </w:pPr>
      <w:r w:rsidRPr="00501C8E">
        <w:rPr>
          <w:rStyle w:val="endsenrhsennumparatext"/>
          <w:rFonts w:ascii="Arial" w:hAnsi="Arial" w:cs="Arial"/>
          <w:sz w:val="22"/>
          <w:szCs w:val="22"/>
          <w:lang w:val="en"/>
        </w:rPr>
        <w:t>6.2</w:t>
      </w:r>
      <w:r w:rsidRPr="00501C8E">
        <w:rPr>
          <w:rStyle w:val="endsenrhsennumparatext"/>
          <w:rFonts w:ascii="Arial" w:hAnsi="Arial" w:cs="Arial"/>
          <w:sz w:val="22"/>
          <w:szCs w:val="22"/>
          <w:lang w:val="en"/>
        </w:rPr>
        <w:tab/>
      </w:r>
      <w:r w:rsidRPr="00501C8E">
        <w:rPr>
          <w:rFonts w:ascii="Arial" w:hAnsi="Arial" w:cs="Arial"/>
          <w:sz w:val="22"/>
          <w:szCs w:val="22"/>
        </w:rPr>
        <w:t>Also included in this increase is lost investment income of £1</w:t>
      </w:r>
      <w:r w:rsidR="006F797F" w:rsidRPr="00501C8E">
        <w:rPr>
          <w:rFonts w:ascii="Arial" w:hAnsi="Arial" w:cs="Arial"/>
          <w:sz w:val="22"/>
          <w:szCs w:val="22"/>
        </w:rPr>
        <w:t>55</w:t>
      </w:r>
      <w:r w:rsidRPr="00501C8E">
        <w:rPr>
          <w:rFonts w:ascii="Arial" w:hAnsi="Arial" w:cs="Arial"/>
          <w:sz w:val="22"/>
          <w:szCs w:val="22"/>
        </w:rPr>
        <w:t xml:space="preserve">,000. </w:t>
      </w:r>
      <w:r w:rsidR="00A37B8A" w:rsidRPr="00501C8E">
        <w:rPr>
          <w:rFonts w:ascii="Arial" w:hAnsi="Arial" w:cs="Arial"/>
          <w:sz w:val="22"/>
          <w:szCs w:val="22"/>
        </w:rPr>
        <w:t>A</w:t>
      </w:r>
      <w:r w:rsidRPr="00501C8E">
        <w:rPr>
          <w:rFonts w:ascii="Arial" w:hAnsi="Arial" w:cs="Arial"/>
          <w:sz w:val="22"/>
          <w:szCs w:val="22"/>
        </w:rPr>
        <w:t xml:space="preserve"> full report on all treasury activity during the first six months of the </w:t>
      </w:r>
      <w:r w:rsidR="001815D3" w:rsidRPr="00501C8E">
        <w:rPr>
          <w:rFonts w:ascii="Arial" w:hAnsi="Arial" w:cs="Arial"/>
          <w:sz w:val="22"/>
          <w:szCs w:val="22"/>
        </w:rPr>
        <w:t>year</w:t>
      </w:r>
      <w:r w:rsidRPr="00501C8E">
        <w:rPr>
          <w:rFonts w:ascii="Arial" w:hAnsi="Arial" w:cs="Arial"/>
          <w:sz w:val="22"/>
          <w:szCs w:val="22"/>
        </w:rPr>
        <w:t xml:space="preserve"> </w:t>
      </w:r>
      <w:r w:rsidR="006F797F" w:rsidRPr="00501C8E">
        <w:rPr>
          <w:rFonts w:ascii="Arial" w:hAnsi="Arial" w:cs="Arial"/>
          <w:sz w:val="22"/>
          <w:szCs w:val="22"/>
        </w:rPr>
        <w:t>is set out elsewhere on this agenda</w:t>
      </w:r>
      <w:r w:rsidRPr="00501C8E">
        <w:rPr>
          <w:rFonts w:ascii="Arial" w:hAnsi="Arial" w:cs="Arial"/>
          <w:sz w:val="22"/>
          <w:szCs w:val="22"/>
        </w:rPr>
        <w:t>.</w:t>
      </w:r>
    </w:p>
    <w:p w:rsidR="006F797F" w:rsidRPr="00501C8E" w:rsidRDefault="006F797F" w:rsidP="00B219C1">
      <w:pPr>
        <w:ind w:left="709" w:hanging="709"/>
        <w:rPr>
          <w:rFonts w:ascii="Arial" w:hAnsi="Arial" w:cs="Arial"/>
          <w:sz w:val="22"/>
          <w:szCs w:val="22"/>
        </w:rPr>
      </w:pPr>
    </w:p>
    <w:p w:rsidR="00EA0546" w:rsidRPr="00501C8E" w:rsidRDefault="00450F13" w:rsidP="00B219C1">
      <w:pPr>
        <w:ind w:left="709" w:hanging="709"/>
        <w:rPr>
          <w:rFonts w:ascii="Arial" w:hAnsi="Arial" w:cs="Arial"/>
          <w:sz w:val="22"/>
          <w:szCs w:val="22"/>
        </w:rPr>
      </w:pPr>
      <w:r w:rsidRPr="00501C8E">
        <w:rPr>
          <w:rFonts w:ascii="Arial" w:hAnsi="Arial" w:cs="Arial"/>
          <w:sz w:val="22"/>
          <w:szCs w:val="22"/>
        </w:rPr>
        <w:t>6</w:t>
      </w:r>
      <w:r w:rsidR="003A57D4" w:rsidRPr="00501C8E">
        <w:rPr>
          <w:rFonts w:ascii="Arial" w:hAnsi="Arial" w:cs="Arial"/>
          <w:sz w:val="22"/>
          <w:szCs w:val="22"/>
        </w:rPr>
        <w:t>.</w:t>
      </w:r>
      <w:r w:rsidR="00E616A1" w:rsidRPr="00501C8E">
        <w:rPr>
          <w:rFonts w:ascii="Arial" w:hAnsi="Arial" w:cs="Arial"/>
          <w:sz w:val="22"/>
          <w:szCs w:val="22"/>
        </w:rPr>
        <w:t>3</w:t>
      </w:r>
      <w:r w:rsidR="00FD6823" w:rsidRPr="00501C8E">
        <w:rPr>
          <w:rFonts w:ascii="Arial" w:hAnsi="Arial" w:cs="Arial"/>
          <w:sz w:val="22"/>
          <w:szCs w:val="22"/>
        </w:rPr>
        <w:tab/>
        <w:t>Officers are still preparing the detailed budget and Council Committees will be considering the fees and charges to be used from January 2017 or later. This will fill in some of the gaps in the detailed budget</w:t>
      </w:r>
      <w:r w:rsidR="002570C8" w:rsidRPr="00501C8E">
        <w:rPr>
          <w:rFonts w:ascii="Arial" w:hAnsi="Arial" w:cs="Arial"/>
          <w:sz w:val="22"/>
          <w:szCs w:val="22"/>
        </w:rPr>
        <w:t xml:space="preserve">. </w:t>
      </w:r>
      <w:r w:rsidRPr="00501C8E">
        <w:rPr>
          <w:rFonts w:ascii="Arial" w:hAnsi="Arial" w:cs="Arial"/>
          <w:sz w:val="22"/>
          <w:szCs w:val="22"/>
        </w:rPr>
        <w:t xml:space="preserve"> </w:t>
      </w:r>
      <w:r w:rsidR="002570C8" w:rsidRPr="00501C8E">
        <w:rPr>
          <w:rFonts w:ascii="Arial" w:hAnsi="Arial" w:cs="Arial"/>
          <w:sz w:val="22"/>
          <w:szCs w:val="22"/>
        </w:rPr>
        <w:t>However</w:t>
      </w:r>
      <w:r w:rsidR="00816ED8" w:rsidRPr="00501C8E">
        <w:rPr>
          <w:rFonts w:ascii="Arial" w:hAnsi="Arial" w:cs="Arial"/>
          <w:sz w:val="22"/>
          <w:szCs w:val="22"/>
        </w:rPr>
        <w:t xml:space="preserve"> there is likely to be significant changes to the tone of the MTFS to deal with the difficulties highlighted above</w:t>
      </w:r>
      <w:r w:rsidR="00044C20" w:rsidRPr="00501C8E">
        <w:rPr>
          <w:rFonts w:ascii="Arial" w:hAnsi="Arial" w:cs="Arial"/>
          <w:sz w:val="22"/>
          <w:szCs w:val="22"/>
        </w:rPr>
        <w:t xml:space="preserve">. </w:t>
      </w:r>
    </w:p>
    <w:p w:rsidR="00E616A1" w:rsidRPr="00501C8E" w:rsidRDefault="00E616A1" w:rsidP="00B219C1">
      <w:pPr>
        <w:ind w:left="709" w:hanging="709"/>
        <w:rPr>
          <w:rFonts w:ascii="Arial" w:hAnsi="Arial" w:cs="Arial"/>
          <w:sz w:val="22"/>
          <w:szCs w:val="22"/>
        </w:rPr>
      </w:pPr>
    </w:p>
    <w:p w:rsidR="00E616A1" w:rsidRPr="00501C8E" w:rsidRDefault="00EA0546" w:rsidP="00E616A1">
      <w:pPr>
        <w:ind w:left="709" w:hanging="709"/>
        <w:rPr>
          <w:rFonts w:ascii="Arial" w:hAnsi="Arial" w:cs="Arial"/>
          <w:b/>
          <w:sz w:val="22"/>
          <w:szCs w:val="22"/>
          <w:u w:val="single"/>
        </w:rPr>
      </w:pPr>
      <w:r w:rsidRPr="00501C8E">
        <w:rPr>
          <w:rFonts w:ascii="Arial" w:hAnsi="Arial" w:cs="Arial"/>
          <w:b/>
          <w:sz w:val="22"/>
          <w:szCs w:val="22"/>
        </w:rPr>
        <w:t>7</w:t>
      </w:r>
      <w:r w:rsidRPr="00501C8E">
        <w:rPr>
          <w:rFonts w:ascii="Arial" w:hAnsi="Arial" w:cs="Arial"/>
          <w:sz w:val="22"/>
          <w:szCs w:val="22"/>
        </w:rPr>
        <w:tab/>
      </w:r>
      <w:r w:rsidRPr="00501C8E">
        <w:rPr>
          <w:rFonts w:ascii="Arial" w:hAnsi="Arial" w:cs="Arial"/>
          <w:b/>
          <w:sz w:val="22"/>
          <w:szCs w:val="22"/>
          <w:u w:val="single"/>
        </w:rPr>
        <w:t xml:space="preserve">Actions </w:t>
      </w:r>
      <w:r w:rsidR="00E616A1" w:rsidRPr="00501C8E">
        <w:rPr>
          <w:rFonts w:ascii="Arial" w:hAnsi="Arial" w:cs="Arial"/>
          <w:b/>
          <w:sz w:val="22"/>
          <w:szCs w:val="22"/>
          <w:u w:val="single"/>
        </w:rPr>
        <w:t xml:space="preserve">being </w:t>
      </w:r>
      <w:r w:rsidRPr="00501C8E">
        <w:rPr>
          <w:rFonts w:ascii="Arial" w:hAnsi="Arial" w:cs="Arial"/>
          <w:b/>
          <w:sz w:val="22"/>
          <w:szCs w:val="22"/>
          <w:u w:val="single"/>
        </w:rPr>
        <w:t xml:space="preserve">taken to reduce the </w:t>
      </w:r>
      <w:r w:rsidR="00E616A1" w:rsidRPr="00501C8E">
        <w:rPr>
          <w:rFonts w:ascii="Arial" w:hAnsi="Arial" w:cs="Arial"/>
          <w:b/>
          <w:sz w:val="22"/>
          <w:szCs w:val="22"/>
          <w:u w:val="single"/>
        </w:rPr>
        <w:t xml:space="preserve">current </w:t>
      </w:r>
      <w:r w:rsidRPr="00501C8E">
        <w:rPr>
          <w:rFonts w:ascii="Arial" w:hAnsi="Arial" w:cs="Arial"/>
          <w:b/>
          <w:sz w:val="22"/>
          <w:szCs w:val="22"/>
          <w:u w:val="single"/>
        </w:rPr>
        <w:t>overspend</w:t>
      </w:r>
    </w:p>
    <w:p w:rsidR="00F82393" w:rsidRPr="00501C8E" w:rsidRDefault="00F82393" w:rsidP="00B219C1">
      <w:pPr>
        <w:ind w:left="709" w:hanging="709"/>
        <w:rPr>
          <w:rFonts w:ascii="Arial" w:hAnsi="Arial" w:cs="Arial"/>
          <w:sz w:val="22"/>
          <w:szCs w:val="22"/>
        </w:rPr>
      </w:pPr>
    </w:p>
    <w:p w:rsidR="00E616A1" w:rsidRPr="00501C8E" w:rsidRDefault="00E616A1" w:rsidP="00B219C1">
      <w:pPr>
        <w:ind w:left="709" w:hanging="709"/>
        <w:rPr>
          <w:rFonts w:ascii="Arial" w:hAnsi="Arial" w:cs="Arial"/>
          <w:sz w:val="22"/>
          <w:szCs w:val="22"/>
        </w:rPr>
      </w:pPr>
      <w:r w:rsidRPr="00501C8E">
        <w:rPr>
          <w:rFonts w:ascii="Arial" w:hAnsi="Arial" w:cs="Arial"/>
          <w:sz w:val="22"/>
          <w:szCs w:val="22"/>
        </w:rPr>
        <w:t>7.1</w:t>
      </w:r>
      <w:r w:rsidRPr="00501C8E">
        <w:rPr>
          <w:rFonts w:ascii="Arial" w:hAnsi="Arial" w:cs="Arial"/>
          <w:sz w:val="22"/>
          <w:szCs w:val="22"/>
        </w:rPr>
        <w:tab/>
        <w:t>In order to address the cost pressures currently being faced as set out in this report the Corporate Leadership Team are taking the following actions:</w:t>
      </w:r>
    </w:p>
    <w:p w:rsidR="00E616A1" w:rsidRPr="00501C8E" w:rsidRDefault="00E616A1" w:rsidP="00B219C1">
      <w:pPr>
        <w:ind w:left="709" w:hanging="709"/>
        <w:rPr>
          <w:rFonts w:ascii="Arial" w:hAnsi="Arial" w:cs="Arial"/>
          <w:sz w:val="22"/>
          <w:szCs w:val="22"/>
        </w:rPr>
      </w:pPr>
    </w:p>
    <w:p w:rsidR="00F82393" w:rsidRPr="00501C8E" w:rsidRDefault="00F82393" w:rsidP="00F82393">
      <w:pPr>
        <w:pStyle w:val="ListParagraph"/>
        <w:numPr>
          <w:ilvl w:val="0"/>
          <w:numId w:val="47"/>
        </w:numPr>
        <w:rPr>
          <w:rFonts w:ascii="Arial" w:hAnsi="Arial" w:cs="Arial"/>
          <w:sz w:val="22"/>
          <w:szCs w:val="22"/>
        </w:rPr>
      </w:pPr>
      <w:r w:rsidRPr="00501C8E">
        <w:rPr>
          <w:rFonts w:ascii="Arial" w:hAnsi="Arial" w:cs="Arial"/>
          <w:sz w:val="22"/>
          <w:szCs w:val="22"/>
        </w:rPr>
        <w:t xml:space="preserve">Senior managers to concentrate spending on front line </w:t>
      </w:r>
      <w:r w:rsidR="00A861D3" w:rsidRPr="00501C8E">
        <w:rPr>
          <w:rFonts w:ascii="Arial" w:hAnsi="Arial" w:cs="Arial"/>
          <w:sz w:val="22"/>
          <w:szCs w:val="22"/>
        </w:rPr>
        <w:t>services</w:t>
      </w:r>
      <w:r w:rsidRPr="00501C8E">
        <w:rPr>
          <w:rFonts w:ascii="Arial" w:hAnsi="Arial" w:cs="Arial"/>
          <w:sz w:val="22"/>
          <w:szCs w:val="22"/>
        </w:rPr>
        <w:t xml:space="preserve"> and delay expenditure where possible – this tactic was implemented part way through 2012/13 – the original budget set showed a call on the </w:t>
      </w:r>
      <w:r w:rsidR="00455FD7">
        <w:rPr>
          <w:rFonts w:ascii="Arial" w:hAnsi="Arial" w:cs="Arial"/>
          <w:sz w:val="22"/>
          <w:szCs w:val="22"/>
        </w:rPr>
        <w:t>G</w:t>
      </w:r>
      <w:r w:rsidRPr="00501C8E">
        <w:rPr>
          <w:rFonts w:ascii="Arial" w:hAnsi="Arial" w:cs="Arial"/>
          <w:sz w:val="22"/>
          <w:szCs w:val="22"/>
        </w:rPr>
        <w:t>eneral Fund working balance of £999k. The outturn showed a contribution to the balance of £279k. The Council</w:t>
      </w:r>
      <w:r w:rsidR="00455FD7">
        <w:rPr>
          <w:rFonts w:ascii="Arial" w:hAnsi="Arial" w:cs="Arial"/>
          <w:sz w:val="22"/>
          <w:szCs w:val="22"/>
        </w:rPr>
        <w:t>’</w:t>
      </w:r>
      <w:r w:rsidRPr="00501C8E">
        <w:rPr>
          <w:rFonts w:ascii="Arial" w:hAnsi="Arial" w:cs="Arial"/>
          <w:sz w:val="22"/>
          <w:szCs w:val="22"/>
        </w:rPr>
        <w:t>s own “austerity programme”.</w:t>
      </w:r>
      <w:r w:rsidR="00044C20" w:rsidRPr="00501C8E">
        <w:rPr>
          <w:rFonts w:ascii="Arial" w:hAnsi="Arial" w:cs="Arial"/>
          <w:sz w:val="22"/>
          <w:szCs w:val="22"/>
        </w:rPr>
        <w:t xml:space="preserve"> </w:t>
      </w:r>
      <w:r w:rsidR="00F17B15" w:rsidRPr="00501C8E">
        <w:rPr>
          <w:rFonts w:ascii="Arial" w:hAnsi="Arial" w:cs="Arial"/>
          <w:sz w:val="22"/>
          <w:szCs w:val="22"/>
        </w:rPr>
        <w:t>Officers will be looking for one off savings to redu</w:t>
      </w:r>
      <w:r w:rsidR="00EA0546" w:rsidRPr="00501C8E">
        <w:rPr>
          <w:rFonts w:ascii="Arial" w:hAnsi="Arial" w:cs="Arial"/>
          <w:sz w:val="22"/>
          <w:szCs w:val="22"/>
        </w:rPr>
        <w:t xml:space="preserve">ce the over spends listed above and to curtail </w:t>
      </w:r>
      <w:r w:rsidR="00FC5C2D" w:rsidRPr="00501C8E">
        <w:rPr>
          <w:rFonts w:ascii="Arial" w:hAnsi="Arial" w:cs="Arial"/>
          <w:sz w:val="22"/>
          <w:szCs w:val="22"/>
        </w:rPr>
        <w:t>unnecessary</w:t>
      </w:r>
      <w:r w:rsidR="00EA0546" w:rsidRPr="00501C8E">
        <w:rPr>
          <w:rFonts w:ascii="Arial" w:hAnsi="Arial" w:cs="Arial"/>
          <w:sz w:val="22"/>
          <w:szCs w:val="22"/>
        </w:rPr>
        <w:t xml:space="preserve"> expenditure</w:t>
      </w:r>
    </w:p>
    <w:p w:rsidR="004431BC" w:rsidRPr="00501C8E" w:rsidRDefault="004431BC" w:rsidP="004431BC">
      <w:pPr>
        <w:pStyle w:val="ListParagraph"/>
        <w:ind w:left="1065"/>
        <w:rPr>
          <w:rFonts w:ascii="Arial" w:hAnsi="Arial" w:cs="Arial"/>
          <w:sz w:val="22"/>
          <w:szCs w:val="22"/>
        </w:rPr>
      </w:pPr>
    </w:p>
    <w:p w:rsidR="00D6208C" w:rsidRPr="00501C8E" w:rsidRDefault="00D6208C" w:rsidP="00F82393">
      <w:pPr>
        <w:pStyle w:val="ListParagraph"/>
        <w:numPr>
          <w:ilvl w:val="0"/>
          <w:numId w:val="47"/>
        </w:numPr>
        <w:rPr>
          <w:rFonts w:ascii="Arial" w:hAnsi="Arial" w:cs="Arial"/>
          <w:sz w:val="22"/>
          <w:szCs w:val="22"/>
        </w:rPr>
      </w:pPr>
      <w:r w:rsidRPr="00501C8E">
        <w:rPr>
          <w:rFonts w:ascii="Arial" w:hAnsi="Arial" w:cs="Arial"/>
          <w:sz w:val="22"/>
          <w:szCs w:val="22"/>
        </w:rPr>
        <w:t>Growth will be constrained, as far as possible, to “invest to save”</w:t>
      </w:r>
      <w:r w:rsidR="00455FD7">
        <w:rPr>
          <w:rFonts w:ascii="Arial" w:hAnsi="Arial" w:cs="Arial"/>
          <w:sz w:val="22"/>
          <w:szCs w:val="22"/>
        </w:rPr>
        <w:t>.</w:t>
      </w:r>
    </w:p>
    <w:p w:rsidR="004431BC" w:rsidRPr="00501C8E" w:rsidRDefault="004431BC" w:rsidP="004431BC">
      <w:pPr>
        <w:rPr>
          <w:rFonts w:ascii="Arial" w:hAnsi="Arial" w:cs="Arial"/>
          <w:sz w:val="22"/>
          <w:szCs w:val="22"/>
        </w:rPr>
      </w:pPr>
    </w:p>
    <w:p w:rsidR="00D6208C" w:rsidRPr="00501C8E" w:rsidRDefault="00D6208C" w:rsidP="00F82393">
      <w:pPr>
        <w:pStyle w:val="ListParagraph"/>
        <w:numPr>
          <w:ilvl w:val="0"/>
          <w:numId w:val="47"/>
        </w:numPr>
        <w:rPr>
          <w:rFonts w:ascii="Arial" w:hAnsi="Arial" w:cs="Arial"/>
          <w:sz w:val="22"/>
          <w:szCs w:val="22"/>
        </w:rPr>
      </w:pPr>
      <w:r w:rsidRPr="00501C8E">
        <w:rPr>
          <w:rFonts w:ascii="Arial" w:hAnsi="Arial" w:cs="Arial"/>
          <w:sz w:val="22"/>
          <w:szCs w:val="22"/>
        </w:rPr>
        <w:t xml:space="preserve">Potentially a recruitment freeze </w:t>
      </w:r>
      <w:r w:rsidR="00EA0546" w:rsidRPr="00501C8E">
        <w:rPr>
          <w:rFonts w:ascii="Arial" w:hAnsi="Arial" w:cs="Arial"/>
          <w:sz w:val="22"/>
          <w:szCs w:val="22"/>
        </w:rPr>
        <w:t xml:space="preserve">for the next four months </w:t>
      </w:r>
      <w:r w:rsidRPr="00501C8E">
        <w:rPr>
          <w:rFonts w:ascii="Arial" w:hAnsi="Arial" w:cs="Arial"/>
          <w:sz w:val="22"/>
          <w:szCs w:val="22"/>
        </w:rPr>
        <w:t xml:space="preserve">with any recruitment needing the </w:t>
      </w:r>
      <w:r w:rsidR="004431BC" w:rsidRPr="00501C8E">
        <w:rPr>
          <w:rFonts w:ascii="Arial" w:hAnsi="Arial" w:cs="Arial"/>
          <w:sz w:val="22"/>
          <w:szCs w:val="22"/>
        </w:rPr>
        <w:t>specific approval of the Chief Executive</w:t>
      </w:r>
      <w:r w:rsidR="00455FD7">
        <w:rPr>
          <w:rFonts w:ascii="Arial" w:hAnsi="Arial" w:cs="Arial"/>
          <w:sz w:val="22"/>
          <w:szCs w:val="22"/>
        </w:rPr>
        <w:t>.</w:t>
      </w:r>
    </w:p>
    <w:p w:rsidR="004431BC" w:rsidRPr="00501C8E" w:rsidRDefault="004431BC" w:rsidP="004431BC">
      <w:pPr>
        <w:pStyle w:val="ListParagraph"/>
        <w:ind w:left="1065"/>
        <w:rPr>
          <w:rFonts w:ascii="Arial" w:hAnsi="Arial" w:cs="Arial"/>
          <w:sz w:val="22"/>
          <w:szCs w:val="22"/>
        </w:rPr>
      </w:pPr>
    </w:p>
    <w:p w:rsidR="00F82393" w:rsidRPr="00501C8E" w:rsidRDefault="00F82393" w:rsidP="00F82393">
      <w:pPr>
        <w:pStyle w:val="ListParagraph"/>
        <w:numPr>
          <w:ilvl w:val="0"/>
          <w:numId w:val="47"/>
        </w:numPr>
        <w:rPr>
          <w:rFonts w:ascii="Arial" w:hAnsi="Arial" w:cs="Arial"/>
          <w:sz w:val="22"/>
          <w:szCs w:val="22"/>
        </w:rPr>
      </w:pPr>
      <w:r w:rsidRPr="00501C8E">
        <w:rPr>
          <w:rFonts w:ascii="Arial" w:hAnsi="Arial" w:cs="Arial"/>
          <w:sz w:val="22"/>
          <w:szCs w:val="22"/>
        </w:rPr>
        <w:t xml:space="preserve">Retain capital </w:t>
      </w:r>
      <w:r w:rsidR="00A861D3" w:rsidRPr="00501C8E">
        <w:rPr>
          <w:rFonts w:ascii="Arial" w:hAnsi="Arial" w:cs="Arial"/>
          <w:sz w:val="22"/>
          <w:szCs w:val="22"/>
        </w:rPr>
        <w:t>receipts</w:t>
      </w:r>
      <w:r w:rsidRPr="00501C8E">
        <w:rPr>
          <w:rFonts w:ascii="Arial" w:hAnsi="Arial" w:cs="Arial"/>
          <w:sz w:val="22"/>
          <w:szCs w:val="22"/>
        </w:rPr>
        <w:t xml:space="preserve"> at their maximum level at the expense of increased borrowing to fund short life assets in the future or Capital schemes where prudential borrowing would not be appropriate.</w:t>
      </w:r>
    </w:p>
    <w:p w:rsidR="004431BC" w:rsidRPr="00501C8E" w:rsidRDefault="004431BC" w:rsidP="004431BC">
      <w:pPr>
        <w:rPr>
          <w:rFonts w:ascii="Arial" w:hAnsi="Arial" w:cs="Arial"/>
          <w:sz w:val="22"/>
          <w:szCs w:val="22"/>
        </w:rPr>
      </w:pPr>
    </w:p>
    <w:p w:rsidR="00F82393" w:rsidRPr="00501C8E" w:rsidRDefault="00F82393" w:rsidP="00F82393">
      <w:pPr>
        <w:pStyle w:val="ListParagraph"/>
        <w:numPr>
          <w:ilvl w:val="0"/>
          <w:numId w:val="47"/>
        </w:numPr>
        <w:rPr>
          <w:rFonts w:ascii="Arial" w:hAnsi="Arial" w:cs="Arial"/>
          <w:sz w:val="22"/>
          <w:szCs w:val="22"/>
        </w:rPr>
      </w:pPr>
      <w:r w:rsidRPr="00501C8E">
        <w:rPr>
          <w:rFonts w:ascii="Arial" w:hAnsi="Arial" w:cs="Arial"/>
          <w:sz w:val="22"/>
          <w:szCs w:val="22"/>
        </w:rPr>
        <w:t>Members note the risks to future Government funding which will not become clear until December 2016. The main risks are the sums we retain from business rates and any significant reduction</w:t>
      </w:r>
      <w:r w:rsidR="00637959" w:rsidRPr="00501C8E">
        <w:rPr>
          <w:rFonts w:ascii="Arial" w:hAnsi="Arial" w:cs="Arial"/>
          <w:sz w:val="22"/>
          <w:szCs w:val="22"/>
        </w:rPr>
        <w:t xml:space="preserve"> in the New Homes Bonus grant.</w:t>
      </w:r>
      <w:r w:rsidR="00C253E0" w:rsidRPr="00501C8E">
        <w:rPr>
          <w:rFonts w:ascii="Arial" w:hAnsi="Arial" w:cs="Arial"/>
          <w:sz w:val="22"/>
          <w:szCs w:val="22"/>
        </w:rPr>
        <w:t xml:space="preserve"> “</w:t>
      </w:r>
      <w:r w:rsidR="00C50D27" w:rsidRPr="00501C8E">
        <w:rPr>
          <w:rFonts w:ascii="Arial" w:hAnsi="Arial" w:cs="Arial"/>
          <w:sz w:val="22"/>
          <w:szCs w:val="22"/>
        </w:rPr>
        <w:t>Negative</w:t>
      </w:r>
      <w:r w:rsidR="00C253E0" w:rsidRPr="00501C8E">
        <w:rPr>
          <w:rFonts w:ascii="Arial" w:hAnsi="Arial" w:cs="Arial"/>
          <w:sz w:val="22"/>
          <w:szCs w:val="22"/>
        </w:rPr>
        <w:t xml:space="preserve">” Revenue Support grant has not been ruled out by Government. Officers have submitted the Councils “Efficiency Plan” to 2020 and have received no comment of challenge from </w:t>
      </w:r>
      <w:r w:rsidR="00C50D27" w:rsidRPr="00501C8E">
        <w:rPr>
          <w:rFonts w:ascii="Arial" w:hAnsi="Arial" w:cs="Arial"/>
          <w:sz w:val="22"/>
          <w:szCs w:val="22"/>
        </w:rPr>
        <w:t>Government.</w:t>
      </w:r>
    </w:p>
    <w:p w:rsidR="004431BC" w:rsidRPr="00501C8E" w:rsidRDefault="004431BC" w:rsidP="004431BC">
      <w:pPr>
        <w:rPr>
          <w:rFonts w:ascii="Arial" w:hAnsi="Arial" w:cs="Arial"/>
          <w:sz w:val="22"/>
          <w:szCs w:val="22"/>
        </w:rPr>
      </w:pPr>
    </w:p>
    <w:p w:rsidR="00D135A2" w:rsidRPr="00501C8E" w:rsidRDefault="00D135A2" w:rsidP="00F82393">
      <w:pPr>
        <w:pStyle w:val="ListParagraph"/>
        <w:numPr>
          <w:ilvl w:val="0"/>
          <w:numId w:val="47"/>
        </w:numPr>
        <w:rPr>
          <w:rFonts w:ascii="Arial" w:hAnsi="Arial" w:cs="Arial"/>
          <w:sz w:val="22"/>
          <w:szCs w:val="22"/>
        </w:rPr>
      </w:pPr>
      <w:r w:rsidRPr="00501C8E">
        <w:rPr>
          <w:rFonts w:ascii="Arial" w:hAnsi="Arial" w:cs="Arial"/>
          <w:sz w:val="22"/>
          <w:szCs w:val="22"/>
        </w:rPr>
        <w:t>Runnymede will not be in the pool for 2017/18, adding a cost pressure of a further £300k in 2017/18</w:t>
      </w:r>
      <w:r w:rsidR="004431BC" w:rsidRPr="00501C8E">
        <w:rPr>
          <w:rFonts w:ascii="Arial" w:hAnsi="Arial" w:cs="Arial"/>
          <w:sz w:val="22"/>
          <w:szCs w:val="22"/>
        </w:rPr>
        <w:t xml:space="preserve"> and potentially future years</w:t>
      </w:r>
      <w:r w:rsidR="005B6FB4" w:rsidRPr="00501C8E">
        <w:rPr>
          <w:rFonts w:ascii="Arial" w:hAnsi="Arial" w:cs="Arial"/>
          <w:sz w:val="22"/>
          <w:szCs w:val="22"/>
        </w:rPr>
        <w:t>.</w:t>
      </w:r>
      <w:r w:rsidR="006B4181" w:rsidRPr="00501C8E">
        <w:rPr>
          <w:rFonts w:ascii="Arial" w:hAnsi="Arial" w:cs="Arial"/>
          <w:sz w:val="22"/>
          <w:szCs w:val="22"/>
        </w:rPr>
        <w:t xml:space="preserve"> However final budgets for the business rates retained will not be available until the detail behind the Autumn Statement from the Chancellor of the Exchequer is available</w:t>
      </w:r>
      <w:r w:rsidR="004431BC" w:rsidRPr="00501C8E">
        <w:rPr>
          <w:rFonts w:ascii="Arial" w:hAnsi="Arial" w:cs="Arial"/>
          <w:sz w:val="22"/>
          <w:szCs w:val="22"/>
        </w:rPr>
        <w:t>.</w:t>
      </w:r>
    </w:p>
    <w:p w:rsidR="004431BC" w:rsidRPr="00501C8E" w:rsidRDefault="004431BC" w:rsidP="004431BC">
      <w:pPr>
        <w:rPr>
          <w:rFonts w:ascii="Arial" w:hAnsi="Arial" w:cs="Arial"/>
          <w:sz w:val="22"/>
          <w:szCs w:val="22"/>
        </w:rPr>
      </w:pPr>
    </w:p>
    <w:p w:rsidR="00044C20" w:rsidRPr="00501C8E" w:rsidRDefault="00044C20" w:rsidP="00F82393">
      <w:pPr>
        <w:pStyle w:val="ListParagraph"/>
        <w:numPr>
          <w:ilvl w:val="0"/>
          <w:numId w:val="47"/>
        </w:numPr>
        <w:rPr>
          <w:rFonts w:ascii="Arial" w:hAnsi="Arial" w:cs="Arial"/>
          <w:sz w:val="22"/>
          <w:szCs w:val="22"/>
        </w:rPr>
      </w:pPr>
      <w:r w:rsidRPr="00501C8E">
        <w:rPr>
          <w:rFonts w:ascii="Arial" w:hAnsi="Arial" w:cs="Arial"/>
          <w:sz w:val="22"/>
          <w:szCs w:val="22"/>
        </w:rPr>
        <w:t xml:space="preserve">A further risk to the budget in 2017/18 onwards </w:t>
      </w:r>
      <w:r w:rsidR="004431BC" w:rsidRPr="00501C8E">
        <w:rPr>
          <w:rFonts w:ascii="Arial" w:hAnsi="Arial" w:cs="Arial"/>
          <w:sz w:val="22"/>
          <w:szCs w:val="22"/>
        </w:rPr>
        <w:t>was anticipated to b</w:t>
      </w:r>
      <w:r w:rsidR="00C253E0" w:rsidRPr="00501C8E">
        <w:rPr>
          <w:rFonts w:ascii="Arial" w:hAnsi="Arial" w:cs="Arial"/>
          <w:sz w:val="22"/>
          <w:szCs w:val="22"/>
        </w:rPr>
        <w:t>e t</w:t>
      </w:r>
      <w:r w:rsidRPr="00501C8E">
        <w:rPr>
          <w:rFonts w:ascii="Arial" w:hAnsi="Arial" w:cs="Arial"/>
          <w:sz w:val="22"/>
          <w:szCs w:val="22"/>
        </w:rPr>
        <w:t>he pension fund. It has been widely reporte</w:t>
      </w:r>
      <w:r w:rsidR="004431BC" w:rsidRPr="00501C8E">
        <w:rPr>
          <w:rFonts w:ascii="Arial" w:hAnsi="Arial" w:cs="Arial"/>
          <w:sz w:val="22"/>
          <w:szCs w:val="22"/>
        </w:rPr>
        <w:t xml:space="preserve">d that a number of pension funds </w:t>
      </w:r>
      <w:r w:rsidRPr="00501C8E">
        <w:rPr>
          <w:rFonts w:ascii="Arial" w:hAnsi="Arial" w:cs="Arial"/>
          <w:sz w:val="22"/>
          <w:szCs w:val="22"/>
        </w:rPr>
        <w:t>are experiencing increased deficits due to lower than expected returns on investments.</w:t>
      </w:r>
      <w:r w:rsidR="00C253E0" w:rsidRPr="00501C8E">
        <w:rPr>
          <w:rFonts w:ascii="Arial" w:hAnsi="Arial" w:cs="Arial"/>
          <w:sz w:val="22"/>
          <w:szCs w:val="22"/>
        </w:rPr>
        <w:t xml:space="preserve"> </w:t>
      </w:r>
      <w:r w:rsidR="004431BC" w:rsidRPr="00501C8E">
        <w:rPr>
          <w:rFonts w:ascii="Arial" w:hAnsi="Arial" w:cs="Arial"/>
          <w:sz w:val="22"/>
          <w:szCs w:val="22"/>
        </w:rPr>
        <w:t>Early indications from the f</w:t>
      </w:r>
      <w:r w:rsidR="00C253E0" w:rsidRPr="00501C8E">
        <w:rPr>
          <w:rFonts w:ascii="Arial" w:hAnsi="Arial" w:cs="Arial"/>
          <w:sz w:val="22"/>
          <w:szCs w:val="22"/>
        </w:rPr>
        <w:t xml:space="preserve">und actuaries have confirmed that no additional contributions will be required from the Council in 2017/18 and that the </w:t>
      </w:r>
      <w:r w:rsidR="00C50D27" w:rsidRPr="00501C8E">
        <w:rPr>
          <w:rFonts w:ascii="Arial" w:hAnsi="Arial" w:cs="Arial"/>
          <w:sz w:val="22"/>
          <w:szCs w:val="22"/>
        </w:rPr>
        <w:t>employer’s</w:t>
      </w:r>
      <w:r w:rsidR="00C253E0" w:rsidRPr="00501C8E">
        <w:rPr>
          <w:rFonts w:ascii="Arial" w:hAnsi="Arial" w:cs="Arial"/>
          <w:sz w:val="22"/>
          <w:szCs w:val="22"/>
        </w:rPr>
        <w:t xml:space="preserve"> contribution rate will remain unchanged.</w:t>
      </w:r>
    </w:p>
    <w:p w:rsidR="004431BC" w:rsidRPr="00501C8E" w:rsidRDefault="004431BC" w:rsidP="004431BC">
      <w:pPr>
        <w:rPr>
          <w:rFonts w:ascii="Arial" w:hAnsi="Arial" w:cs="Arial"/>
          <w:sz w:val="22"/>
          <w:szCs w:val="22"/>
        </w:rPr>
      </w:pPr>
    </w:p>
    <w:p w:rsidR="00D6208C" w:rsidRPr="00501C8E" w:rsidRDefault="00D6208C" w:rsidP="00F82393">
      <w:pPr>
        <w:pStyle w:val="ListParagraph"/>
        <w:numPr>
          <w:ilvl w:val="0"/>
          <w:numId w:val="47"/>
        </w:numPr>
        <w:rPr>
          <w:rFonts w:ascii="Arial" w:hAnsi="Arial" w:cs="Arial"/>
          <w:sz w:val="22"/>
          <w:szCs w:val="22"/>
        </w:rPr>
      </w:pPr>
      <w:r w:rsidRPr="00501C8E">
        <w:rPr>
          <w:rFonts w:ascii="Arial" w:hAnsi="Arial" w:cs="Arial"/>
          <w:sz w:val="22"/>
          <w:szCs w:val="22"/>
        </w:rPr>
        <w:t xml:space="preserve">Undertake some strategic </w:t>
      </w:r>
      <w:r w:rsidR="00EA0546" w:rsidRPr="00501C8E">
        <w:rPr>
          <w:rFonts w:ascii="Arial" w:hAnsi="Arial" w:cs="Arial"/>
          <w:sz w:val="22"/>
          <w:szCs w:val="22"/>
        </w:rPr>
        <w:t xml:space="preserve">service </w:t>
      </w:r>
      <w:r w:rsidRPr="00501C8E">
        <w:rPr>
          <w:rFonts w:ascii="Arial" w:hAnsi="Arial" w:cs="Arial"/>
          <w:sz w:val="22"/>
          <w:szCs w:val="22"/>
        </w:rPr>
        <w:t>reviews</w:t>
      </w:r>
      <w:r w:rsidR="00EA0546" w:rsidRPr="00501C8E">
        <w:rPr>
          <w:rFonts w:ascii="Arial" w:hAnsi="Arial" w:cs="Arial"/>
          <w:sz w:val="22"/>
          <w:szCs w:val="22"/>
        </w:rPr>
        <w:t xml:space="preserve"> which will be </w:t>
      </w:r>
      <w:r w:rsidR="00FC5C2D" w:rsidRPr="00501C8E">
        <w:rPr>
          <w:rFonts w:ascii="Arial" w:hAnsi="Arial" w:cs="Arial"/>
          <w:sz w:val="22"/>
          <w:szCs w:val="22"/>
        </w:rPr>
        <w:t>reported back</w:t>
      </w:r>
      <w:r w:rsidR="00EA0546" w:rsidRPr="00501C8E">
        <w:rPr>
          <w:rFonts w:ascii="Arial" w:hAnsi="Arial" w:cs="Arial"/>
          <w:sz w:val="22"/>
          <w:szCs w:val="22"/>
        </w:rPr>
        <w:t xml:space="preserve"> to the appropriate </w:t>
      </w:r>
      <w:r w:rsidR="00455FD7">
        <w:rPr>
          <w:rFonts w:ascii="Arial" w:hAnsi="Arial" w:cs="Arial"/>
          <w:sz w:val="22"/>
          <w:szCs w:val="22"/>
        </w:rPr>
        <w:t>C</w:t>
      </w:r>
      <w:r w:rsidR="00EA0546" w:rsidRPr="00501C8E">
        <w:rPr>
          <w:rFonts w:ascii="Arial" w:hAnsi="Arial" w:cs="Arial"/>
          <w:sz w:val="22"/>
          <w:szCs w:val="22"/>
        </w:rPr>
        <w:t>ommittee (the review list is currently being prepared)</w:t>
      </w:r>
      <w:r w:rsidR="004431BC" w:rsidRPr="00501C8E">
        <w:rPr>
          <w:rFonts w:ascii="Arial" w:hAnsi="Arial" w:cs="Arial"/>
          <w:sz w:val="22"/>
          <w:szCs w:val="22"/>
        </w:rPr>
        <w:t>.</w:t>
      </w:r>
    </w:p>
    <w:p w:rsidR="004431BC" w:rsidRPr="00501C8E" w:rsidRDefault="004431BC" w:rsidP="004431BC">
      <w:pPr>
        <w:rPr>
          <w:rFonts w:ascii="Arial" w:hAnsi="Arial" w:cs="Arial"/>
          <w:sz w:val="22"/>
          <w:szCs w:val="22"/>
        </w:rPr>
      </w:pPr>
    </w:p>
    <w:p w:rsidR="00D6208C" w:rsidRPr="00501C8E" w:rsidRDefault="00D6208C" w:rsidP="00F82393">
      <w:pPr>
        <w:pStyle w:val="ListParagraph"/>
        <w:numPr>
          <w:ilvl w:val="0"/>
          <w:numId w:val="47"/>
        </w:numPr>
        <w:rPr>
          <w:rFonts w:ascii="Arial" w:hAnsi="Arial" w:cs="Arial"/>
          <w:sz w:val="22"/>
          <w:szCs w:val="22"/>
        </w:rPr>
      </w:pPr>
      <w:r w:rsidRPr="00501C8E">
        <w:rPr>
          <w:rFonts w:ascii="Arial" w:hAnsi="Arial" w:cs="Arial"/>
          <w:sz w:val="22"/>
          <w:szCs w:val="22"/>
        </w:rPr>
        <w:t>Examine more areas for income generation</w:t>
      </w:r>
      <w:r w:rsidR="004431BC" w:rsidRPr="00501C8E">
        <w:rPr>
          <w:rFonts w:ascii="Arial" w:hAnsi="Arial" w:cs="Arial"/>
          <w:sz w:val="22"/>
          <w:szCs w:val="22"/>
        </w:rPr>
        <w:t>.</w:t>
      </w:r>
    </w:p>
    <w:p w:rsidR="004431BC" w:rsidRPr="00501C8E" w:rsidRDefault="004431BC" w:rsidP="004431BC">
      <w:pPr>
        <w:rPr>
          <w:rFonts w:ascii="Arial" w:hAnsi="Arial" w:cs="Arial"/>
          <w:sz w:val="22"/>
          <w:szCs w:val="22"/>
        </w:rPr>
      </w:pPr>
    </w:p>
    <w:p w:rsidR="00D6208C" w:rsidRPr="00501C8E" w:rsidRDefault="00D6208C" w:rsidP="00F82393">
      <w:pPr>
        <w:pStyle w:val="ListParagraph"/>
        <w:numPr>
          <w:ilvl w:val="0"/>
          <w:numId w:val="47"/>
        </w:numPr>
        <w:rPr>
          <w:rFonts w:ascii="Arial" w:hAnsi="Arial" w:cs="Arial"/>
          <w:sz w:val="22"/>
          <w:szCs w:val="22"/>
        </w:rPr>
      </w:pPr>
      <w:r w:rsidRPr="00501C8E">
        <w:rPr>
          <w:rFonts w:ascii="Arial" w:hAnsi="Arial" w:cs="Arial"/>
          <w:sz w:val="22"/>
          <w:szCs w:val="22"/>
        </w:rPr>
        <w:lastRenderedPageBreak/>
        <w:t>Offer Value for Money on existing contracts to maintain income and seek out new contracts.</w:t>
      </w:r>
    </w:p>
    <w:p w:rsidR="004431BC" w:rsidRPr="00501C8E" w:rsidRDefault="004431BC" w:rsidP="004431BC">
      <w:pPr>
        <w:rPr>
          <w:rFonts w:ascii="Arial" w:hAnsi="Arial" w:cs="Arial"/>
          <w:sz w:val="22"/>
          <w:szCs w:val="22"/>
        </w:rPr>
      </w:pPr>
    </w:p>
    <w:p w:rsidR="007C0B9C" w:rsidRDefault="00D6208C" w:rsidP="00F82393">
      <w:pPr>
        <w:pStyle w:val="ListParagraph"/>
        <w:numPr>
          <w:ilvl w:val="0"/>
          <w:numId w:val="47"/>
        </w:numPr>
        <w:rPr>
          <w:rFonts w:ascii="Arial" w:hAnsi="Arial" w:cs="Arial"/>
          <w:sz w:val="22"/>
          <w:szCs w:val="22"/>
        </w:rPr>
      </w:pPr>
      <w:r w:rsidRPr="00501C8E">
        <w:rPr>
          <w:rFonts w:ascii="Arial" w:hAnsi="Arial" w:cs="Arial"/>
          <w:sz w:val="22"/>
          <w:szCs w:val="22"/>
        </w:rPr>
        <w:t>The Corporate Investment Strategy is yielding results</w:t>
      </w:r>
      <w:r w:rsidR="00455FD7">
        <w:rPr>
          <w:rFonts w:ascii="Arial" w:hAnsi="Arial" w:cs="Arial"/>
          <w:sz w:val="22"/>
          <w:szCs w:val="22"/>
        </w:rPr>
        <w:t xml:space="preserve">. That </w:t>
      </w:r>
      <w:r w:rsidRPr="00501C8E">
        <w:rPr>
          <w:rFonts w:ascii="Arial" w:hAnsi="Arial" w:cs="Arial"/>
          <w:sz w:val="22"/>
          <w:szCs w:val="22"/>
        </w:rPr>
        <w:t xml:space="preserve">programme </w:t>
      </w:r>
      <w:r w:rsidR="00455FD7">
        <w:rPr>
          <w:rFonts w:ascii="Arial" w:hAnsi="Arial" w:cs="Arial"/>
          <w:sz w:val="22"/>
          <w:szCs w:val="22"/>
        </w:rPr>
        <w:t xml:space="preserve">can be expanded </w:t>
      </w:r>
      <w:r w:rsidRPr="00501C8E">
        <w:rPr>
          <w:rFonts w:ascii="Arial" w:hAnsi="Arial" w:cs="Arial"/>
          <w:sz w:val="22"/>
          <w:szCs w:val="22"/>
        </w:rPr>
        <w:t>to enhance our commercial income stream</w:t>
      </w:r>
      <w:r w:rsidR="007C0B9C" w:rsidRPr="00501C8E">
        <w:rPr>
          <w:rFonts w:ascii="Arial" w:hAnsi="Arial" w:cs="Arial"/>
          <w:sz w:val="22"/>
          <w:szCs w:val="22"/>
        </w:rPr>
        <w:t xml:space="preserve"> with further reports coming to the December meeting</w:t>
      </w:r>
      <w:r w:rsidR="00455FD7">
        <w:rPr>
          <w:rFonts w:ascii="Arial" w:hAnsi="Arial" w:cs="Arial"/>
          <w:sz w:val="22"/>
          <w:szCs w:val="22"/>
        </w:rPr>
        <w:t>.</w:t>
      </w:r>
    </w:p>
    <w:p w:rsidR="00455FD7" w:rsidRDefault="00455FD7" w:rsidP="00455FD7">
      <w:pPr>
        <w:rPr>
          <w:rFonts w:ascii="Arial" w:hAnsi="Arial" w:cs="Arial"/>
          <w:sz w:val="22"/>
          <w:szCs w:val="22"/>
        </w:rPr>
      </w:pPr>
    </w:p>
    <w:p w:rsidR="00D6208C" w:rsidRPr="00501C8E" w:rsidRDefault="00455FD7" w:rsidP="00455FD7">
      <w:pPr>
        <w:rPr>
          <w:rFonts w:ascii="Arial" w:hAnsi="Arial" w:cs="Arial"/>
          <w:sz w:val="22"/>
          <w:szCs w:val="22"/>
        </w:rPr>
      </w:pPr>
      <w:r>
        <w:rPr>
          <w:rFonts w:ascii="Arial" w:hAnsi="Arial" w:cs="Arial"/>
          <w:sz w:val="22"/>
          <w:szCs w:val="22"/>
        </w:rPr>
        <w:tab/>
        <w:t xml:space="preserve">12 </w:t>
      </w:r>
      <w:r w:rsidR="007C0B9C" w:rsidRPr="00501C8E">
        <w:rPr>
          <w:rFonts w:ascii="Arial" w:hAnsi="Arial" w:cs="Arial"/>
          <w:sz w:val="22"/>
          <w:szCs w:val="22"/>
        </w:rPr>
        <w:t xml:space="preserve">A review of Commercial </w:t>
      </w:r>
      <w:r w:rsidR="00FC5C2D" w:rsidRPr="00501C8E">
        <w:rPr>
          <w:rFonts w:ascii="Arial" w:hAnsi="Arial" w:cs="Arial"/>
          <w:sz w:val="22"/>
          <w:szCs w:val="22"/>
        </w:rPr>
        <w:t>Services</w:t>
      </w:r>
      <w:r w:rsidR="007C0B9C" w:rsidRPr="00501C8E">
        <w:rPr>
          <w:rFonts w:ascii="Arial" w:hAnsi="Arial" w:cs="Arial"/>
          <w:sz w:val="22"/>
          <w:szCs w:val="22"/>
        </w:rPr>
        <w:t xml:space="preserve"> will be presented to </w:t>
      </w:r>
      <w:r>
        <w:rPr>
          <w:rFonts w:ascii="Arial" w:hAnsi="Arial" w:cs="Arial"/>
          <w:sz w:val="22"/>
          <w:szCs w:val="22"/>
        </w:rPr>
        <w:t>M</w:t>
      </w:r>
      <w:r w:rsidR="007C0B9C" w:rsidRPr="00501C8E">
        <w:rPr>
          <w:rFonts w:ascii="Arial" w:hAnsi="Arial" w:cs="Arial"/>
          <w:sz w:val="22"/>
          <w:szCs w:val="22"/>
        </w:rPr>
        <w:t xml:space="preserve">embers in December with a </w:t>
      </w:r>
      <w:r>
        <w:rPr>
          <w:rFonts w:ascii="Arial" w:hAnsi="Arial" w:cs="Arial"/>
          <w:sz w:val="22"/>
          <w:szCs w:val="22"/>
        </w:rPr>
        <w:tab/>
      </w:r>
      <w:r>
        <w:rPr>
          <w:rFonts w:ascii="Arial" w:hAnsi="Arial" w:cs="Arial"/>
          <w:sz w:val="22"/>
          <w:szCs w:val="22"/>
        </w:rPr>
        <w:tab/>
        <w:t xml:space="preserve">     </w:t>
      </w:r>
      <w:r w:rsidR="007C0B9C" w:rsidRPr="00501C8E">
        <w:rPr>
          <w:rFonts w:ascii="Arial" w:hAnsi="Arial" w:cs="Arial"/>
          <w:sz w:val="22"/>
          <w:szCs w:val="22"/>
        </w:rPr>
        <w:t>recommendation to save £160k in a full year</w:t>
      </w:r>
      <w:r w:rsidR="004431BC" w:rsidRPr="00501C8E">
        <w:rPr>
          <w:rFonts w:ascii="Arial" w:hAnsi="Arial" w:cs="Arial"/>
          <w:sz w:val="22"/>
          <w:szCs w:val="22"/>
        </w:rPr>
        <w:t>.</w:t>
      </w:r>
    </w:p>
    <w:p w:rsidR="004431BC" w:rsidRPr="00501C8E" w:rsidRDefault="004431BC" w:rsidP="004431BC">
      <w:pPr>
        <w:rPr>
          <w:rFonts w:ascii="Arial" w:hAnsi="Arial" w:cs="Arial"/>
          <w:sz w:val="22"/>
          <w:szCs w:val="22"/>
        </w:rPr>
      </w:pPr>
    </w:p>
    <w:p w:rsidR="00044C20" w:rsidRPr="00455FD7" w:rsidRDefault="00455FD7" w:rsidP="00455FD7">
      <w:pPr>
        <w:ind w:left="705"/>
        <w:rPr>
          <w:rFonts w:ascii="Arial" w:hAnsi="Arial" w:cs="Arial"/>
          <w:sz w:val="22"/>
          <w:szCs w:val="22"/>
        </w:rPr>
      </w:pPr>
      <w:r>
        <w:rPr>
          <w:rFonts w:ascii="Arial" w:hAnsi="Arial" w:cs="Arial"/>
          <w:sz w:val="22"/>
          <w:szCs w:val="22"/>
        </w:rPr>
        <w:t xml:space="preserve">13 </w:t>
      </w:r>
      <w:r w:rsidR="00044C20" w:rsidRPr="00455FD7">
        <w:rPr>
          <w:rFonts w:ascii="Arial" w:hAnsi="Arial" w:cs="Arial"/>
          <w:sz w:val="22"/>
          <w:szCs w:val="22"/>
        </w:rPr>
        <w:t xml:space="preserve">All Corporate Heads departmental management team meetings, starting in </w:t>
      </w:r>
      <w:r w:rsidR="004431BC" w:rsidRPr="00455FD7">
        <w:rPr>
          <w:rFonts w:ascii="Arial" w:hAnsi="Arial" w:cs="Arial"/>
          <w:sz w:val="22"/>
          <w:szCs w:val="22"/>
        </w:rPr>
        <w:t>December</w:t>
      </w:r>
      <w:r w:rsidR="00044C20" w:rsidRPr="00455FD7">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t xml:space="preserve">     </w:t>
      </w:r>
      <w:r w:rsidR="00FC5C2D" w:rsidRPr="00455FD7">
        <w:rPr>
          <w:rFonts w:ascii="Arial" w:hAnsi="Arial" w:cs="Arial"/>
          <w:sz w:val="22"/>
          <w:szCs w:val="22"/>
        </w:rPr>
        <w:t>2016</w:t>
      </w:r>
      <w:r w:rsidR="00044C20" w:rsidRPr="00455FD7">
        <w:rPr>
          <w:rFonts w:ascii="Arial" w:hAnsi="Arial" w:cs="Arial"/>
          <w:sz w:val="22"/>
          <w:szCs w:val="22"/>
        </w:rPr>
        <w:t xml:space="preserve"> will have an accountant present to </w:t>
      </w:r>
      <w:r w:rsidR="004431BC" w:rsidRPr="00455FD7">
        <w:rPr>
          <w:rFonts w:ascii="Arial" w:hAnsi="Arial" w:cs="Arial"/>
          <w:sz w:val="22"/>
          <w:szCs w:val="22"/>
        </w:rPr>
        <w:t xml:space="preserve">discuss and </w:t>
      </w:r>
      <w:r w:rsidR="00044C20" w:rsidRPr="00455FD7">
        <w:rPr>
          <w:rFonts w:ascii="Arial" w:hAnsi="Arial" w:cs="Arial"/>
          <w:sz w:val="22"/>
          <w:szCs w:val="22"/>
        </w:rPr>
        <w:t xml:space="preserve">finalise the budget monitoring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044C20" w:rsidRPr="00455FD7">
        <w:rPr>
          <w:rFonts w:ascii="Arial" w:hAnsi="Arial" w:cs="Arial"/>
          <w:sz w:val="22"/>
          <w:szCs w:val="22"/>
        </w:rPr>
        <w:t>submissions from Corporate Heads</w:t>
      </w:r>
      <w:r w:rsidR="00D6208C" w:rsidRPr="00455FD7">
        <w:rPr>
          <w:rFonts w:ascii="Arial" w:hAnsi="Arial" w:cs="Arial"/>
          <w:sz w:val="22"/>
          <w:szCs w:val="22"/>
        </w:rPr>
        <w:t xml:space="preserve">. This will make the budget monitoring systems more </w:t>
      </w:r>
      <w:r>
        <w:rPr>
          <w:rFonts w:ascii="Arial" w:hAnsi="Arial" w:cs="Arial"/>
          <w:sz w:val="22"/>
          <w:szCs w:val="22"/>
        </w:rPr>
        <w:t xml:space="preserve"> </w:t>
      </w:r>
      <w:r>
        <w:rPr>
          <w:rFonts w:ascii="Arial" w:hAnsi="Arial" w:cs="Arial"/>
          <w:sz w:val="22"/>
          <w:szCs w:val="22"/>
        </w:rPr>
        <w:tab/>
        <w:t xml:space="preserve">     </w:t>
      </w:r>
      <w:r w:rsidR="00D6208C" w:rsidRPr="00455FD7">
        <w:rPr>
          <w:rFonts w:ascii="Arial" w:hAnsi="Arial" w:cs="Arial"/>
          <w:sz w:val="22"/>
          <w:szCs w:val="22"/>
        </w:rPr>
        <w:t>robust</w:t>
      </w:r>
      <w:r w:rsidR="004431BC" w:rsidRPr="00455FD7">
        <w:rPr>
          <w:rFonts w:ascii="Arial" w:hAnsi="Arial" w:cs="Arial"/>
          <w:sz w:val="22"/>
          <w:szCs w:val="22"/>
        </w:rPr>
        <w:t>.</w:t>
      </w:r>
    </w:p>
    <w:p w:rsidR="004431BC" w:rsidRPr="00501C8E" w:rsidRDefault="004431BC" w:rsidP="004431BC">
      <w:pPr>
        <w:rPr>
          <w:rFonts w:ascii="Arial" w:hAnsi="Arial" w:cs="Arial"/>
          <w:sz w:val="22"/>
          <w:szCs w:val="22"/>
        </w:rPr>
      </w:pPr>
    </w:p>
    <w:p w:rsidR="00044C20" w:rsidRPr="00455FD7" w:rsidRDefault="00455FD7" w:rsidP="00455FD7">
      <w:pPr>
        <w:ind w:left="705"/>
        <w:rPr>
          <w:rFonts w:ascii="Arial" w:hAnsi="Arial" w:cs="Arial"/>
          <w:sz w:val="22"/>
          <w:szCs w:val="22"/>
        </w:rPr>
      </w:pPr>
      <w:r>
        <w:rPr>
          <w:rFonts w:ascii="Arial" w:hAnsi="Arial" w:cs="Arial"/>
          <w:sz w:val="22"/>
          <w:szCs w:val="22"/>
        </w:rPr>
        <w:t xml:space="preserve">14 </w:t>
      </w:r>
      <w:r w:rsidR="00044C20" w:rsidRPr="00455FD7">
        <w:rPr>
          <w:rFonts w:ascii="Arial" w:hAnsi="Arial" w:cs="Arial"/>
          <w:sz w:val="22"/>
          <w:szCs w:val="22"/>
        </w:rPr>
        <w:t xml:space="preserve">The number of SO42 / Supplementary Revenue Requests will be reserved for severe </w:t>
      </w:r>
      <w:r>
        <w:rPr>
          <w:rFonts w:ascii="Arial" w:hAnsi="Arial" w:cs="Arial"/>
          <w:sz w:val="22"/>
          <w:szCs w:val="22"/>
        </w:rPr>
        <w:t xml:space="preserve"> </w:t>
      </w:r>
      <w:r>
        <w:rPr>
          <w:rFonts w:ascii="Arial" w:hAnsi="Arial" w:cs="Arial"/>
          <w:sz w:val="22"/>
          <w:szCs w:val="22"/>
        </w:rPr>
        <w:tab/>
        <w:t xml:space="preserve">     </w:t>
      </w:r>
      <w:r w:rsidR="00F17B15" w:rsidRPr="00455FD7">
        <w:rPr>
          <w:rFonts w:ascii="Arial" w:hAnsi="Arial" w:cs="Arial"/>
          <w:sz w:val="22"/>
          <w:szCs w:val="22"/>
        </w:rPr>
        <w:t>cost pressures</w:t>
      </w:r>
      <w:r w:rsidR="00044C20" w:rsidRPr="00455FD7">
        <w:rPr>
          <w:rFonts w:ascii="Arial" w:hAnsi="Arial" w:cs="Arial"/>
          <w:sz w:val="22"/>
          <w:szCs w:val="22"/>
        </w:rPr>
        <w:t xml:space="preserve"> affecting front line service provision. </w:t>
      </w:r>
    </w:p>
    <w:p w:rsidR="00843441" w:rsidRPr="00501C8E" w:rsidRDefault="00843441" w:rsidP="00843441">
      <w:pPr>
        <w:rPr>
          <w:rFonts w:ascii="Arial" w:hAnsi="Arial" w:cs="Arial"/>
          <w:sz w:val="22"/>
          <w:szCs w:val="22"/>
        </w:rPr>
      </w:pPr>
    </w:p>
    <w:p w:rsidR="00E616A1" w:rsidRPr="00501C8E" w:rsidRDefault="00E616A1" w:rsidP="00E616A1">
      <w:pPr>
        <w:ind w:left="709" w:hanging="709"/>
        <w:rPr>
          <w:rFonts w:ascii="Arial" w:hAnsi="Arial" w:cs="Arial"/>
          <w:sz w:val="22"/>
          <w:szCs w:val="22"/>
        </w:rPr>
      </w:pPr>
      <w:r w:rsidRPr="00501C8E">
        <w:rPr>
          <w:rFonts w:ascii="Arial" w:hAnsi="Arial" w:cs="Arial"/>
          <w:sz w:val="22"/>
          <w:szCs w:val="22"/>
        </w:rPr>
        <w:t>7.2</w:t>
      </w:r>
      <w:r w:rsidRPr="00501C8E">
        <w:rPr>
          <w:rFonts w:ascii="Arial" w:hAnsi="Arial" w:cs="Arial"/>
          <w:sz w:val="22"/>
          <w:szCs w:val="22"/>
        </w:rPr>
        <w:tab/>
        <w:t>One of the reasons for the last two actions is driven by the appointed auditor’s statements in the latest Annual Audit letter 2015/16. Two quotes are included below for Members</w:t>
      </w:r>
      <w:r w:rsidR="00455FD7">
        <w:rPr>
          <w:rFonts w:ascii="Arial" w:hAnsi="Arial" w:cs="Arial"/>
          <w:sz w:val="22"/>
          <w:szCs w:val="22"/>
        </w:rPr>
        <w:t>’</w:t>
      </w:r>
      <w:r w:rsidRPr="00501C8E">
        <w:rPr>
          <w:rFonts w:ascii="Arial" w:hAnsi="Arial" w:cs="Arial"/>
          <w:sz w:val="22"/>
          <w:szCs w:val="22"/>
        </w:rPr>
        <w:t xml:space="preserve"> information.</w:t>
      </w:r>
    </w:p>
    <w:p w:rsidR="00E616A1" w:rsidRPr="00501C8E" w:rsidRDefault="00E616A1" w:rsidP="00E616A1">
      <w:pPr>
        <w:ind w:left="709" w:hanging="709"/>
        <w:rPr>
          <w:rFonts w:ascii="Arial" w:hAnsi="Arial" w:cs="Arial"/>
          <w:sz w:val="22"/>
          <w:szCs w:val="22"/>
        </w:rPr>
      </w:pPr>
    </w:p>
    <w:p w:rsidR="00E616A1" w:rsidRPr="00501C8E" w:rsidRDefault="00E616A1" w:rsidP="00E616A1">
      <w:pPr>
        <w:ind w:left="851"/>
        <w:rPr>
          <w:rFonts w:ascii="Arial" w:hAnsi="Arial" w:cs="Arial"/>
          <w:sz w:val="22"/>
          <w:szCs w:val="22"/>
        </w:rPr>
      </w:pPr>
      <w:r w:rsidRPr="00501C8E">
        <w:rPr>
          <w:rFonts w:ascii="Arial" w:hAnsi="Arial" w:cs="Arial"/>
          <w:sz w:val="22"/>
          <w:szCs w:val="22"/>
        </w:rPr>
        <w:t>“The Authority is operating in a challenging financial environment. It is important that financial monitoring and forecasting processes are robust. This enables effective decision making and sustainable resource deployment. In response we reviewed the Authority’s process for monitoring financial outturn against budget; and the process for preparing the Medium Term Financial Strategy. Our procedures did not identify any issues to report.”</w:t>
      </w:r>
    </w:p>
    <w:p w:rsidR="00E616A1" w:rsidRPr="00501C8E" w:rsidRDefault="00E616A1" w:rsidP="00E616A1">
      <w:pPr>
        <w:ind w:left="851" w:hanging="709"/>
        <w:rPr>
          <w:rFonts w:ascii="Arial" w:hAnsi="Arial" w:cs="Arial"/>
          <w:sz w:val="22"/>
          <w:szCs w:val="22"/>
        </w:rPr>
      </w:pPr>
    </w:p>
    <w:p w:rsidR="00E616A1" w:rsidRPr="00501C8E" w:rsidRDefault="00E616A1" w:rsidP="00E616A1">
      <w:pPr>
        <w:ind w:left="851"/>
        <w:rPr>
          <w:rFonts w:ascii="Arial" w:hAnsi="Arial" w:cs="Arial"/>
          <w:sz w:val="22"/>
          <w:szCs w:val="22"/>
        </w:rPr>
      </w:pPr>
      <w:r w:rsidRPr="00501C8E">
        <w:rPr>
          <w:rFonts w:ascii="Arial" w:hAnsi="Arial" w:cs="Arial"/>
          <w:sz w:val="22"/>
          <w:szCs w:val="22"/>
        </w:rPr>
        <w:t>And</w:t>
      </w:r>
    </w:p>
    <w:p w:rsidR="00E616A1" w:rsidRPr="00501C8E" w:rsidRDefault="00E616A1" w:rsidP="00E616A1">
      <w:pPr>
        <w:ind w:left="851"/>
        <w:rPr>
          <w:rFonts w:ascii="Arial" w:hAnsi="Arial" w:cs="Arial"/>
          <w:sz w:val="22"/>
          <w:szCs w:val="22"/>
        </w:rPr>
      </w:pPr>
    </w:p>
    <w:p w:rsidR="00E616A1" w:rsidRPr="00501C8E" w:rsidRDefault="00E616A1" w:rsidP="00E616A1">
      <w:pPr>
        <w:ind w:left="851"/>
        <w:rPr>
          <w:rFonts w:ascii="Arial" w:hAnsi="Arial" w:cs="Arial"/>
          <w:sz w:val="22"/>
          <w:szCs w:val="22"/>
        </w:rPr>
      </w:pPr>
      <w:r w:rsidRPr="00501C8E">
        <w:rPr>
          <w:rFonts w:ascii="Arial" w:hAnsi="Arial" w:cs="Arial"/>
          <w:sz w:val="22"/>
          <w:szCs w:val="22"/>
        </w:rPr>
        <w:t>“Whilst not explicitly covered by our audit opinion, we review other information that accompanies the financial statements to consider its material consistency with the audited accounts. This year we reviewed the Annual Governance Statement and Narrative Report. We concluded that they were consistent with our understanding and did not identify any issues.”</w:t>
      </w:r>
    </w:p>
    <w:p w:rsidR="00843441" w:rsidRDefault="00843441" w:rsidP="00843441">
      <w:pPr>
        <w:rPr>
          <w:rFonts w:ascii="Arial" w:hAnsi="Arial" w:cs="Arial"/>
          <w:sz w:val="22"/>
          <w:szCs w:val="22"/>
        </w:rPr>
      </w:pPr>
    </w:p>
    <w:p w:rsidR="00455FD7" w:rsidRDefault="00455FD7" w:rsidP="00843441">
      <w:pPr>
        <w:rPr>
          <w:rFonts w:ascii="Arial" w:hAnsi="Arial" w:cs="Arial"/>
          <w:b/>
          <w:sz w:val="22"/>
          <w:szCs w:val="22"/>
        </w:rPr>
      </w:pPr>
      <w:r>
        <w:rPr>
          <w:rFonts w:ascii="Arial" w:hAnsi="Arial" w:cs="Arial"/>
          <w:sz w:val="22"/>
          <w:szCs w:val="22"/>
        </w:rPr>
        <w:tab/>
        <w:t xml:space="preserve">  </w:t>
      </w:r>
      <w:r w:rsidR="00430072">
        <w:rPr>
          <w:rFonts w:ascii="Arial" w:hAnsi="Arial" w:cs="Arial"/>
          <w:sz w:val="22"/>
          <w:szCs w:val="22"/>
        </w:rPr>
        <w:t xml:space="preserve"> </w:t>
      </w:r>
      <w:r w:rsidRPr="00455FD7">
        <w:rPr>
          <w:rFonts w:ascii="Arial" w:hAnsi="Arial" w:cs="Arial"/>
          <w:b/>
          <w:sz w:val="22"/>
          <w:szCs w:val="22"/>
        </w:rPr>
        <w:t xml:space="preserve">(For information) </w:t>
      </w:r>
    </w:p>
    <w:p w:rsidR="00430072" w:rsidRDefault="00430072" w:rsidP="00843441">
      <w:pPr>
        <w:rPr>
          <w:rFonts w:ascii="Arial" w:hAnsi="Arial" w:cs="Arial"/>
          <w:b/>
          <w:sz w:val="22"/>
          <w:szCs w:val="22"/>
        </w:rPr>
      </w:pPr>
    </w:p>
    <w:p w:rsidR="00455FD7" w:rsidRPr="00455FD7" w:rsidRDefault="00455FD7" w:rsidP="00843441">
      <w:pPr>
        <w:rPr>
          <w:rFonts w:ascii="Arial" w:hAnsi="Arial" w:cs="Arial"/>
          <w:sz w:val="22"/>
          <w:szCs w:val="22"/>
        </w:rPr>
      </w:pPr>
      <w:r>
        <w:rPr>
          <w:rFonts w:ascii="Arial" w:hAnsi="Arial" w:cs="Arial"/>
          <w:b/>
          <w:sz w:val="22"/>
          <w:szCs w:val="22"/>
        </w:rPr>
        <w:tab/>
        <w:t xml:space="preserve">   Background Papers </w:t>
      </w:r>
      <w:r w:rsidR="00430072">
        <w:rPr>
          <w:rFonts w:ascii="Arial" w:hAnsi="Arial" w:cs="Arial"/>
          <w:b/>
          <w:sz w:val="22"/>
          <w:szCs w:val="22"/>
        </w:rPr>
        <w:t>-</w:t>
      </w:r>
      <w:r>
        <w:rPr>
          <w:rFonts w:ascii="Arial" w:hAnsi="Arial" w:cs="Arial"/>
          <w:b/>
          <w:sz w:val="22"/>
          <w:szCs w:val="22"/>
        </w:rPr>
        <w:t xml:space="preserve"> </w:t>
      </w:r>
      <w:r w:rsidRPr="00455FD7">
        <w:rPr>
          <w:rFonts w:ascii="Arial" w:hAnsi="Arial" w:cs="Arial"/>
          <w:sz w:val="22"/>
          <w:szCs w:val="22"/>
        </w:rPr>
        <w:t xml:space="preserve">None stated </w:t>
      </w:r>
    </w:p>
    <w:sectPr w:rsidR="00455FD7" w:rsidRPr="00455FD7" w:rsidSect="002154E0">
      <w:footerReference w:type="default" r:id="rId10"/>
      <w:pgSz w:w="11906" w:h="16838" w:code="9"/>
      <w:pgMar w:top="1440" w:right="1133"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944" w:rsidRDefault="00CB0944">
      <w:r>
        <w:separator/>
      </w:r>
    </w:p>
  </w:endnote>
  <w:endnote w:type="continuationSeparator" w:id="0">
    <w:p w:rsidR="00CB0944" w:rsidRDefault="00CB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579977"/>
      <w:docPartObj>
        <w:docPartGallery w:val="Page Numbers (Bottom of Page)"/>
        <w:docPartUnique/>
      </w:docPartObj>
    </w:sdtPr>
    <w:sdtEndPr>
      <w:rPr>
        <w:rFonts w:ascii="Arial" w:hAnsi="Arial" w:cs="Arial"/>
        <w:noProof/>
        <w:sz w:val="22"/>
        <w:szCs w:val="22"/>
      </w:rPr>
    </w:sdtEndPr>
    <w:sdtContent>
      <w:p w:rsidR="00F15F1B" w:rsidRPr="00F15F1B" w:rsidRDefault="00F15F1B">
        <w:pPr>
          <w:pStyle w:val="Footer"/>
          <w:jc w:val="center"/>
          <w:rPr>
            <w:rFonts w:ascii="Arial" w:hAnsi="Arial" w:cs="Arial"/>
            <w:sz w:val="22"/>
            <w:szCs w:val="22"/>
          </w:rPr>
        </w:pPr>
        <w:r w:rsidRPr="00F15F1B">
          <w:rPr>
            <w:rFonts w:ascii="Arial" w:hAnsi="Arial" w:cs="Arial"/>
            <w:sz w:val="22"/>
            <w:szCs w:val="22"/>
          </w:rPr>
          <w:fldChar w:fldCharType="begin"/>
        </w:r>
        <w:r w:rsidRPr="00F15F1B">
          <w:rPr>
            <w:rFonts w:ascii="Arial" w:hAnsi="Arial" w:cs="Arial"/>
            <w:sz w:val="22"/>
            <w:szCs w:val="22"/>
          </w:rPr>
          <w:instrText xml:space="preserve"> PAGE   \* MERGEFORMAT </w:instrText>
        </w:r>
        <w:r w:rsidRPr="00F15F1B">
          <w:rPr>
            <w:rFonts w:ascii="Arial" w:hAnsi="Arial" w:cs="Arial"/>
            <w:sz w:val="22"/>
            <w:szCs w:val="22"/>
          </w:rPr>
          <w:fldChar w:fldCharType="separate"/>
        </w:r>
        <w:r w:rsidR="00B81EB5">
          <w:rPr>
            <w:rFonts w:ascii="Arial" w:hAnsi="Arial" w:cs="Arial"/>
            <w:noProof/>
            <w:sz w:val="22"/>
            <w:szCs w:val="22"/>
          </w:rPr>
          <w:t>13</w:t>
        </w:r>
        <w:r w:rsidRPr="00F15F1B">
          <w:rPr>
            <w:rFonts w:ascii="Arial" w:hAnsi="Arial" w:cs="Arial"/>
            <w:noProof/>
            <w:sz w:val="22"/>
            <w:szCs w:val="22"/>
          </w:rPr>
          <w:fldChar w:fldCharType="end"/>
        </w:r>
      </w:p>
    </w:sdtContent>
  </w:sdt>
  <w:p w:rsidR="005645C6" w:rsidRDefault="00564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944" w:rsidRDefault="00CB0944">
      <w:r>
        <w:separator/>
      </w:r>
    </w:p>
  </w:footnote>
  <w:footnote w:type="continuationSeparator" w:id="0">
    <w:p w:rsidR="00CB0944" w:rsidRDefault="00CB0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8D4"/>
    <w:multiLevelType w:val="multilevel"/>
    <w:tmpl w:val="588A3CB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0C0C09"/>
    <w:multiLevelType w:val="multilevel"/>
    <w:tmpl w:val="AF2CDED6"/>
    <w:lvl w:ilvl="0">
      <w:start w:val="4"/>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5DF774F"/>
    <w:multiLevelType w:val="multilevel"/>
    <w:tmpl w:val="C872556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EC3B24"/>
    <w:multiLevelType w:val="multilevel"/>
    <w:tmpl w:val="2DF68232"/>
    <w:lvl w:ilvl="0">
      <w:start w:val="3"/>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D85B08"/>
    <w:multiLevelType w:val="hybridMultilevel"/>
    <w:tmpl w:val="8A5C8F28"/>
    <w:lvl w:ilvl="0" w:tplc="04090001">
      <w:start w:val="1"/>
      <w:numFmt w:val="bullet"/>
      <w:lvlText w:val=""/>
      <w:lvlJc w:val="left"/>
      <w:pPr>
        <w:tabs>
          <w:tab w:val="num" w:pos="720"/>
        </w:tabs>
        <w:ind w:left="720" w:hanging="360"/>
      </w:pPr>
      <w:rPr>
        <w:rFonts w:ascii="Symbol" w:hAnsi="Symbol" w:hint="default"/>
      </w:rPr>
    </w:lvl>
    <w:lvl w:ilvl="1" w:tplc="858EFEEC">
      <w:start w:val="25"/>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B37F50"/>
    <w:multiLevelType w:val="multilevel"/>
    <w:tmpl w:val="F210E864"/>
    <w:lvl w:ilvl="0">
      <w:start w:val="2"/>
      <w:numFmt w:val="decimal"/>
      <w:lvlText w:val="%1"/>
      <w:lvlJc w:val="left"/>
      <w:pPr>
        <w:ind w:left="375" w:hanging="375"/>
      </w:pPr>
      <w:rPr>
        <w:rFonts w:hint="default"/>
      </w:rPr>
    </w:lvl>
    <w:lvl w:ilvl="1">
      <w:start w:val="1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457C8C"/>
    <w:multiLevelType w:val="multilevel"/>
    <w:tmpl w:val="BB6812B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05414E"/>
    <w:multiLevelType w:val="multilevel"/>
    <w:tmpl w:val="2DF0C3DE"/>
    <w:lvl w:ilvl="0">
      <w:start w:val="2"/>
      <w:numFmt w:val="decimal"/>
      <w:lvlText w:val="%1"/>
      <w:lvlJc w:val="left"/>
      <w:pPr>
        <w:ind w:left="375" w:hanging="375"/>
      </w:pPr>
      <w:rPr>
        <w:rFonts w:hint="default"/>
      </w:rPr>
    </w:lvl>
    <w:lvl w:ilvl="1">
      <w:start w:val="1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1E6C05"/>
    <w:multiLevelType w:val="multilevel"/>
    <w:tmpl w:val="90C6A1FE"/>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40320C"/>
    <w:multiLevelType w:val="multilevel"/>
    <w:tmpl w:val="691A66A6"/>
    <w:lvl w:ilvl="0">
      <w:start w:val="3"/>
      <w:numFmt w:val="decimal"/>
      <w:lvlText w:val="%1"/>
      <w:lvlJc w:val="left"/>
      <w:pPr>
        <w:tabs>
          <w:tab w:val="num" w:pos="390"/>
        </w:tabs>
        <w:ind w:left="390" w:hanging="390"/>
      </w:pPr>
      <w:rPr>
        <w:rFonts w:hint="default"/>
      </w:rPr>
    </w:lvl>
    <w:lvl w:ilvl="1">
      <w:start w:val="1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E8F11AE"/>
    <w:multiLevelType w:val="multilevel"/>
    <w:tmpl w:val="FDE6FFCE"/>
    <w:lvl w:ilvl="0">
      <w:start w:val="3"/>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EEB454F"/>
    <w:multiLevelType w:val="hybridMultilevel"/>
    <w:tmpl w:val="3F76E8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FCD4547"/>
    <w:multiLevelType w:val="hybridMultilevel"/>
    <w:tmpl w:val="0EC86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0564A65"/>
    <w:multiLevelType w:val="hybridMultilevel"/>
    <w:tmpl w:val="B7083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2AF59C6"/>
    <w:multiLevelType w:val="hybridMultilevel"/>
    <w:tmpl w:val="89DC3A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3FA79D1"/>
    <w:multiLevelType w:val="multilevel"/>
    <w:tmpl w:val="AD32F34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49066A8"/>
    <w:multiLevelType w:val="multilevel"/>
    <w:tmpl w:val="F4E20D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4911598"/>
    <w:multiLevelType w:val="multilevel"/>
    <w:tmpl w:val="5874B41E"/>
    <w:lvl w:ilvl="0">
      <w:start w:val="3"/>
      <w:numFmt w:val="decimal"/>
      <w:lvlText w:val="%1"/>
      <w:lvlJc w:val="left"/>
      <w:pPr>
        <w:tabs>
          <w:tab w:val="num" w:pos="390"/>
        </w:tabs>
        <w:ind w:left="390" w:hanging="390"/>
      </w:pPr>
      <w:rPr>
        <w:rFonts w:hint="default"/>
      </w:rPr>
    </w:lvl>
    <w:lvl w:ilvl="1">
      <w:start w:val="1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4EE6510"/>
    <w:multiLevelType w:val="multilevel"/>
    <w:tmpl w:val="62F008A0"/>
    <w:lvl w:ilvl="0">
      <w:start w:val="3"/>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257B0925"/>
    <w:multiLevelType w:val="multilevel"/>
    <w:tmpl w:val="BB6812B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6026168"/>
    <w:multiLevelType w:val="hybridMultilevel"/>
    <w:tmpl w:val="47EE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61A6B94"/>
    <w:multiLevelType w:val="multilevel"/>
    <w:tmpl w:val="D1CE807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9FD16F1"/>
    <w:multiLevelType w:val="multilevel"/>
    <w:tmpl w:val="BA3079A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CFC03D8"/>
    <w:multiLevelType w:val="multilevel"/>
    <w:tmpl w:val="51F0BEF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F4071FA"/>
    <w:multiLevelType w:val="hybridMultilevel"/>
    <w:tmpl w:val="1C7C22DA"/>
    <w:lvl w:ilvl="0" w:tplc="088414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07400D5"/>
    <w:multiLevelType w:val="hybridMultilevel"/>
    <w:tmpl w:val="13F4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1500E19"/>
    <w:multiLevelType w:val="hybridMultilevel"/>
    <w:tmpl w:val="BD7850AE"/>
    <w:lvl w:ilvl="0" w:tplc="B20850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3502520E"/>
    <w:multiLevelType w:val="multilevel"/>
    <w:tmpl w:val="6B003DB8"/>
    <w:lvl w:ilvl="0">
      <w:start w:val="4"/>
      <w:numFmt w:val="decimal"/>
      <w:lvlText w:val="%1"/>
      <w:lvlJc w:val="left"/>
      <w:pPr>
        <w:ind w:left="384" w:hanging="384"/>
      </w:pPr>
      <w:rPr>
        <w:rFonts w:hint="default"/>
      </w:rPr>
    </w:lvl>
    <w:lvl w:ilvl="1">
      <w:start w:val="1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5774E29"/>
    <w:multiLevelType w:val="multilevel"/>
    <w:tmpl w:val="8B60729C"/>
    <w:lvl w:ilvl="0">
      <w:start w:val="332"/>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38560873"/>
    <w:multiLevelType w:val="hybridMultilevel"/>
    <w:tmpl w:val="8EF25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BC23A31"/>
    <w:multiLevelType w:val="multilevel"/>
    <w:tmpl w:val="2F1A6CE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E3C5740"/>
    <w:multiLevelType w:val="multilevel"/>
    <w:tmpl w:val="0B6205A6"/>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3183C14"/>
    <w:multiLevelType w:val="multilevel"/>
    <w:tmpl w:val="F87E90B6"/>
    <w:lvl w:ilvl="0">
      <w:start w:val="2"/>
      <w:numFmt w:val="decimal"/>
      <w:lvlText w:val="%1"/>
      <w:lvlJc w:val="left"/>
      <w:pPr>
        <w:ind w:left="375" w:hanging="375"/>
      </w:pPr>
      <w:rPr>
        <w:rFonts w:hint="default"/>
      </w:rPr>
    </w:lvl>
    <w:lvl w:ilvl="1">
      <w:start w:val="1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4FD6F9C"/>
    <w:multiLevelType w:val="multilevel"/>
    <w:tmpl w:val="1B6C4F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5D77C9C"/>
    <w:multiLevelType w:val="multilevel"/>
    <w:tmpl w:val="65EEE300"/>
    <w:lvl w:ilvl="0">
      <w:start w:val="3"/>
      <w:numFmt w:val="decimal"/>
      <w:lvlText w:val="%1"/>
      <w:lvlJc w:val="left"/>
      <w:pPr>
        <w:tabs>
          <w:tab w:val="num" w:pos="390"/>
        </w:tabs>
        <w:ind w:left="390" w:hanging="390"/>
      </w:pPr>
      <w:rPr>
        <w:rFonts w:hint="default"/>
      </w:rPr>
    </w:lvl>
    <w:lvl w:ilvl="1">
      <w:start w:val="1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F1B1658"/>
    <w:multiLevelType w:val="hybridMultilevel"/>
    <w:tmpl w:val="982AF1EC"/>
    <w:lvl w:ilvl="0" w:tplc="E35A83DA">
      <w:start w:val="1"/>
      <w:numFmt w:val="bullet"/>
      <w:lvlText w:val=""/>
      <w:lvlJc w:val="left"/>
      <w:pPr>
        <w:tabs>
          <w:tab w:val="num" w:pos="1440"/>
        </w:tabs>
        <w:ind w:left="144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27E7576"/>
    <w:multiLevelType w:val="multilevel"/>
    <w:tmpl w:val="199CF19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5364F98"/>
    <w:multiLevelType w:val="hybridMultilevel"/>
    <w:tmpl w:val="D2D611C4"/>
    <w:lvl w:ilvl="0" w:tplc="5E988A2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8">
    <w:nsid w:val="56B528C8"/>
    <w:multiLevelType w:val="multilevel"/>
    <w:tmpl w:val="63FE5ECA"/>
    <w:lvl w:ilvl="0">
      <w:start w:val="332"/>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E2F0DC6"/>
    <w:multiLevelType w:val="multilevel"/>
    <w:tmpl w:val="0B3688BE"/>
    <w:lvl w:ilvl="0">
      <w:start w:val="3"/>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nsid w:val="5FFB612D"/>
    <w:multiLevelType w:val="multilevel"/>
    <w:tmpl w:val="7E5E3D3C"/>
    <w:lvl w:ilvl="0">
      <w:start w:val="4"/>
      <w:numFmt w:val="decimal"/>
      <w:lvlText w:val="%1"/>
      <w:lvlJc w:val="left"/>
      <w:pPr>
        <w:ind w:left="375" w:hanging="375"/>
      </w:pPr>
      <w:rPr>
        <w:rFonts w:hint="default"/>
      </w:rPr>
    </w:lvl>
    <w:lvl w:ilvl="1">
      <w:start w:val="1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A8706D2"/>
    <w:multiLevelType w:val="multilevel"/>
    <w:tmpl w:val="90C6A1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3B82807"/>
    <w:multiLevelType w:val="multilevel"/>
    <w:tmpl w:val="AD32F34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9190158"/>
    <w:multiLevelType w:val="multilevel"/>
    <w:tmpl w:val="904C47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E628AC"/>
    <w:multiLevelType w:val="hybridMultilevel"/>
    <w:tmpl w:val="15E4116C"/>
    <w:lvl w:ilvl="0" w:tplc="47BA2E92">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nsid w:val="7DEB6685"/>
    <w:multiLevelType w:val="hybridMultilevel"/>
    <w:tmpl w:val="74B02290"/>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46">
    <w:nsid w:val="7E1C4FFD"/>
    <w:multiLevelType w:val="multilevel"/>
    <w:tmpl w:val="A760932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E740306"/>
    <w:multiLevelType w:val="multilevel"/>
    <w:tmpl w:val="7D327ED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F2A54C7"/>
    <w:multiLevelType w:val="hybridMultilevel"/>
    <w:tmpl w:val="9C446C2E"/>
    <w:lvl w:ilvl="0" w:tplc="08090001">
      <w:start w:val="1"/>
      <w:numFmt w:val="bullet"/>
      <w:lvlText w:val=""/>
      <w:lvlJc w:val="left"/>
      <w:pPr>
        <w:ind w:left="5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4"/>
  </w:num>
  <w:num w:numId="4">
    <w:abstractNumId w:val="9"/>
  </w:num>
  <w:num w:numId="5">
    <w:abstractNumId w:val="16"/>
  </w:num>
  <w:num w:numId="6">
    <w:abstractNumId w:val="35"/>
  </w:num>
  <w:num w:numId="7">
    <w:abstractNumId w:val="31"/>
  </w:num>
  <w:num w:numId="8">
    <w:abstractNumId w:val="17"/>
  </w:num>
  <w:num w:numId="9">
    <w:abstractNumId w:val="34"/>
  </w:num>
  <w:num w:numId="10">
    <w:abstractNumId w:val="29"/>
  </w:num>
  <w:num w:numId="11">
    <w:abstractNumId w:val="4"/>
  </w:num>
  <w:num w:numId="12">
    <w:abstractNumId w:val="33"/>
  </w:num>
  <w:num w:numId="13">
    <w:abstractNumId w:val="23"/>
  </w:num>
  <w:num w:numId="14">
    <w:abstractNumId w:val="2"/>
  </w:num>
  <w:num w:numId="15">
    <w:abstractNumId w:val="42"/>
  </w:num>
  <w:num w:numId="16">
    <w:abstractNumId w:val="15"/>
  </w:num>
  <w:num w:numId="17">
    <w:abstractNumId w:val="6"/>
  </w:num>
  <w:num w:numId="18">
    <w:abstractNumId w:val="19"/>
  </w:num>
  <w:num w:numId="19">
    <w:abstractNumId w:val="8"/>
  </w:num>
  <w:num w:numId="20">
    <w:abstractNumId w:val="12"/>
  </w:num>
  <w:num w:numId="21">
    <w:abstractNumId w:val="44"/>
  </w:num>
  <w:num w:numId="22">
    <w:abstractNumId w:val="41"/>
  </w:num>
  <w:num w:numId="23">
    <w:abstractNumId w:val="3"/>
  </w:num>
  <w:num w:numId="24">
    <w:abstractNumId w:val="18"/>
  </w:num>
  <w:num w:numId="25">
    <w:abstractNumId w:val="25"/>
  </w:num>
  <w:num w:numId="26">
    <w:abstractNumId w:val="35"/>
  </w:num>
  <w:num w:numId="27">
    <w:abstractNumId w:val="45"/>
  </w:num>
  <w:num w:numId="28">
    <w:abstractNumId w:val="48"/>
  </w:num>
  <w:num w:numId="29">
    <w:abstractNumId w:val="39"/>
  </w:num>
  <w:num w:numId="30">
    <w:abstractNumId w:val="10"/>
  </w:num>
  <w:num w:numId="31">
    <w:abstractNumId w:val="1"/>
  </w:num>
  <w:num w:numId="32">
    <w:abstractNumId w:val="27"/>
  </w:num>
  <w:num w:numId="33">
    <w:abstractNumId w:val="40"/>
  </w:num>
  <w:num w:numId="34">
    <w:abstractNumId w:val="20"/>
  </w:num>
  <w:num w:numId="35">
    <w:abstractNumId w:val="30"/>
  </w:num>
  <w:num w:numId="36">
    <w:abstractNumId w:val="47"/>
  </w:num>
  <w:num w:numId="37">
    <w:abstractNumId w:val="43"/>
  </w:num>
  <w:num w:numId="38">
    <w:abstractNumId w:val="21"/>
  </w:num>
  <w:num w:numId="39">
    <w:abstractNumId w:val="38"/>
  </w:num>
  <w:num w:numId="40">
    <w:abstractNumId w:val="28"/>
  </w:num>
  <w:num w:numId="41">
    <w:abstractNumId w:val="0"/>
  </w:num>
  <w:num w:numId="42">
    <w:abstractNumId w:val="22"/>
  </w:num>
  <w:num w:numId="43">
    <w:abstractNumId w:val="46"/>
  </w:num>
  <w:num w:numId="44">
    <w:abstractNumId w:val="36"/>
  </w:num>
  <w:num w:numId="45">
    <w:abstractNumId w:val="7"/>
  </w:num>
  <w:num w:numId="46">
    <w:abstractNumId w:val="24"/>
  </w:num>
  <w:num w:numId="47">
    <w:abstractNumId w:val="37"/>
  </w:num>
  <w:num w:numId="48">
    <w:abstractNumId w:val="26"/>
  </w:num>
  <w:num w:numId="49">
    <w:abstractNumId w:val="5"/>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8D"/>
    <w:rsid w:val="00001487"/>
    <w:rsid w:val="00001829"/>
    <w:rsid w:val="00001C3A"/>
    <w:rsid w:val="00004F31"/>
    <w:rsid w:val="000052D0"/>
    <w:rsid w:val="00006B17"/>
    <w:rsid w:val="00022BE6"/>
    <w:rsid w:val="00030064"/>
    <w:rsid w:val="00034E53"/>
    <w:rsid w:val="00035F90"/>
    <w:rsid w:val="00036544"/>
    <w:rsid w:val="00036C94"/>
    <w:rsid w:val="00041004"/>
    <w:rsid w:val="0004174F"/>
    <w:rsid w:val="00043294"/>
    <w:rsid w:val="00043B1F"/>
    <w:rsid w:val="00044C20"/>
    <w:rsid w:val="00052DE2"/>
    <w:rsid w:val="00055F67"/>
    <w:rsid w:val="000575BC"/>
    <w:rsid w:val="00072B4A"/>
    <w:rsid w:val="00073D3E"/>
    <w:rsid w:val="00074695"/>
    <w:rsid w:val="000A310A"/>
    <w:rsid w:val="000A41B5"/>
    <w:rsid w:val="000B387A"/>
    <w:rsid w:val="000B5942"/>
    <w:rsid w:val="000B5F7B"/>
    <w:rsid w:val="000B6F7F"/>
    <w:rsid w:val="000B7005"/>
    <w:rsid w:val="000C084F"/>
    <w:rsid w:val="000C3150"/>
    <w:rsid w:val="000C7C59"/>
    <w:rsid w:val="000D18FD"/>
    <w:rsid w:val="000D55F8"/>
    <w:rsid w:val="000D7D4C"/>
    <w:rsid w:val="000E217B"/>
    <w:rsid w:val="000E2C63"/>
    <w:rsid w:val="000E39AD"/>
    <w:rsid w:val="000E405F"/>
    <w:rsid w:val="000E55E7"/>
    <w:rsid w:val="000E5ECF"/>
    <w:rsid w:val="000E6E17"/>
    <w:rsid w:val="000F0C48"/>
    <w:rsid w:val="000F1CFA"/>
    <w:rsid w:val="001017F5"/>
    <w:rsid w:val="001058A5"/>
    <w:rsid w:val="00110A14"/>
    <w:rsid w:val="001122A1"/>
    <w:rsid w:val="00112D25"/>
    <w:rsid w:val="0011306E"/>
    <w:rsid w:val="0011542D"/>
    <w:rsid w:val="0012010B"/>
    <w:rsid w:val="00120D95"/>
    <w:rsid w:val="00122E64"/>
    <w:rsid w:val="001243E2"/>
    <w:rsid w:val="0012465B"/>
    <w:rsid w:val="00124E48"/>
    <w:rsid w:val="00126B56"/>
    <w:rsid w:val="00130963"/>
    <w:rsid w:val="00131061"/>
    <w:rsid w:val="0013177D"/>
    <w:rsid w:val="00132CB1"/>
    <w:rsid w:val="00133044"/>
    <w:rsid w:val="001343BC"/>
    <w:rsid w:val="00134F0C"/>
    <w:rsid w:val="001376A3"/>
    <w:rsid w:val="00137A41"/>
    <w:rsid w:val="00137B1F"/>
    <w:rsid w:val="00137BC1"/>
    <w:rsid w:val="0014137B"/>
    <w:rsid w:val="00142001"/>
    <w:rsid w:val="0014578D"/>
    <w:rsid w:val="00147742"/>
    <w:rsid w:val="00147D38"/>
    <w:rsid w:val="00151E57"/>
    <w:rsid w:val="0015259A"/>
    <w:rsid w:val="001525A4"/>
    <w:rsid w:val="0016031E"/>
    <w:rsid w:val="00160D80"/>
    <w:rsid w:val="001613E3"/>
    <w:rsid w:val="0016153B"/>
    <w:rsid w:val="00171A85"/>
    <w:rsid w:val="00175FD3"/>
    <w:rsid w:val="00177D11"/>
    <w:rsid w:val="001800EC"/>
    <w:rsid w:val="001815D3"/>
    <w:rsid w:val="001827A4"/>
    <w:rsid w:val="0018568E"/>
    <w:rsid w:val="00185752"/>
    <w:rsid w:val="00192674"/>
    <w:rsid w:val="00195087"/>
    <w:rsid w:val="00196426"/>
    <w:rsid w:val="00196FE8"/>
    <w:rsid w:val="001A354B"/>
    <w:rsid w:val="001A4C95"/>
    <w:rsid w:val="001B1C55"/>
    <w:rsid w:val="001B5CCA"/>
    <w:rsid w:val="001B5F58"/>
    <w:rsid w:val="001B7D16"/>
    <w:rsid w:val="001C029F"/>
    <w:rsid w:val="001D1239"/>
    <w:rsid w:val="001D5995"/>
    <w:rsid w:val="001D65B3"/>
    <w:rsid w:val="001D6D10"/>
    <w:rsid w:val="001E119F"/>
    <w:rsid w:val="001E2ACD"/>
    <w:rsid w:val="001E3AEC"/>
    <w:rsid w:val="001F091D"/>
    <w:rsid w:val="001F1F7F"/>
    <w:rsid w:val="001F2CEC"/>
    <w:rsid w:val="001F59CB"/>
    <w:rsid w:val="00203A50"/>
    <w:rsid w:val="00210FA9"/>
    <w:rsid w:val="00211262"/>
    <w:rsid w:val="002154E0"/>
    <w:rsid w:val="00217302"/>
    <w:rsid w:val="002242EA"/>
    <w:rsid w:val="002249B4"/>
    <w:rsid w:val="00227766"/>
    <w:rsid w:val="002307DB"/>
    <w:rsid w:val="00232186"/>
    <w:rsid w:val="00236BBE"/>
    <w:rsid w:val="00236CF9"/>
    <w:rsid w:val="00243167"/>
    <w:rsid w:val="00251562"/>
    <w:rsid w:val="00252244"/>
    <w:rsid w:val="00252AE2"/>
    <w:rsid w:val="002570C8"/>
    <w:rsid w:val="00257D7F"/>
    <w:rsid w:val="00264BD1"/>
    <w:rsid w:val="00270B36"/>
    <w:rsid w:val="00276C18"/>
    <w:rsid w:val="00292814"/>
    <w:rsid w:val="00293808"/>
    <w:rsid w:val="002A22DF"/>
    <w:rsid w:val="002A2EB8"/>
    <w:rsid w:val="002A2F0E"/>
    <w:rsid w:val="002B2508"/>
    <w:rsid w:val="002B32B6"/>
    <w:rsid w:val="002B6D18"/>
    <w:rsid w:val="002C309E"/>
    <w:rsid w:val="002C4F79"/>
    <w:rsid w:val="002C6C03"/>
    <w:rsid w:val="002D1C4A"/>
    <w:rsid w:val="002D512E"/>
    <w:rsid w:val="002D53B4"/>
    <w:rsid w:val="002D5D49"/>
    <w:rsid w:val="002E0945"/>
    <w:rsid w:val="002E2F5B"/>
    <w:rsid w:val="002E370D"/>
    <w:rsid w:val="002E4E84"/>
    <w:rsid w:val="002E54FA"/>
    <w:rsid w:val="002E567E"/>
    <w:rsid w:val="002E6212"/>
    <w:rsid w:val="002E7F20"/>
    <w:rsid w:val="002F068E"/>
    <w:rsid w:val="002F192D"/>
    <w:rsid w:val="002F1F0D"/>
    <w:rsid w:val="002F77EE"/>
    <w:rsid w:val="0030002E"/>
    <w:rsid w:val="003027D4"/>
    <w:rsid w:val="0030447E"/>
    <w:rsid w:val="00304DEA"/>
    <w:rsid w:val="00305A0A"/>
    <w:rsid w:val="00305F0A"/>
    <w:rsid w:val="00306E58"/>
    <w:rsid w:val="00306FFC"/>
    <w:rsid w:val="0031114C"/>
    <w:rsid w:val="00311E9C"/>
    <w:rsid w:val="0032071B"/>
    <w:rsid w:val="003215E2"/>
    <w:rsid w:val="00321ABB"/>
    <w:rsid w:val="00323306"/>
    <w:rsid w:val="003269BD"/>
    <w:rsid w:val="00331C5A"/>
    <w:rsid w:val="00332596"/>
    <w:rsid w:val="0034067F"/>
    <w:rsid w:val="00352F20"/>
    <w:rsid w:val="00353653"/>
    <w:rsid w:val="00354E49"/>
    <w:rsid w:val="003624C1"/>
    <w:rsid w:val="0036404A"/>
    <w:rsid w:val="00367273"/>
    <w:rsid w:val="003777BB"/>
    <w:rsid w:val="00381291"/>
    <w:rsid w:val="003824B4"/>
    <w:rsid w:val="003841D6"/>
    <w:rsid w:val="00390296"/>
    <w:rsid w:val="00393595"/>
    <w:rsid w:val="003975E4"/>
    <w:rsid w:val="00397CA2"/>
    <w:rsid w:val="003A00DC"/>
    <w:rsid w:val="003A37B3"/>
    <w:rsid w:val="003A4261"/>
    <w:rsid w:val="003A57D4"/>
    <w:rsid w:val="003A7525"/>
    <w:rsid w:val="003B24D4"/>
    <w:rsid w:val="003B548D"/>
    <w:rsid w:val="003B7A37"/>
    <w:rsid w:val="003C07E9"/>
    <w:rsid w:val="003C0EFC"/>
    <w:rsid w:val="003C28BF"/>
    <w:rsid w:val="003C338F"/>
    <w:rsid w:val="003C7C7E"/>
    <w:rsid w:val="003D4EC2"/>
    <w:rsid w:val="003D58B6"/>
    <w:rsid w:val="003D5DA7"/>
    <w:rsid w:val="003D7E8B"/>
    <w:rsid w:val="003E04B6"/>
    <w:rsid w:val="003E5B0B"/>
    <w:rsid w:val="003E5EE6"/>
    <w:rsid w:val="003E681D"/>
    <w:rsid w:val="003E7B84"/>
    <w:rsid w:val="003F0189"/>
    <w:rsid w:val="003F259D"/>
    <w:rsid w:val="003F5428"/>
    <w:rsid w:val="003F64B7"/>
    <w:rsid w:val="00403A83"/>
    <w:rsid w:val="00405D66"/>
    <w:rsid w:val="004124E0"/>
    <w:rsid w:val="004129A3"/>
    <w:rsid w:val="00414B13"/>
    <w:rsid w:val="0041619F"/>
    <w:rsid w:val="00417C58"/>
    <w:rsid w:val="00417CAE"/>
    <w:rsid w:val="00417E16"/>
    <w:rsid w:val="00423B55"/>
    <w:rsid w:val="004250F9"/>
    <w:rsid w:val="00426CC7"/>
    <w:rsid w:val="00430072"/>
    <w:rsid w:val="0043314C"/>
    <w:rsid w:val="00433A0C"/>
    <w:rsid w:val="00434A06"/>
    <w:rsid w:val="00436495"/>
    <w:rsid w:val="00437910"/>
    <w:rsid w:val="00442771"/>
    <w:rsid w:val="004431BC"/>
    <w:rsid w:val="00450F13"/>
    <w:rsid w:val="00455FD7"/>
    <w:rsid w:val="00464721"/>
    <w:rsid w:val="0047002D"/>
    <w:rsid w:val="00470213"/>
    <w:rsid w:val="00475174"/>
    <w:rsid w:val="0047566F"/>
    <w:rsid w:val="00481FCD"/>
    <w:rsid w:val="004847BD"/>
    <w:rsid w:val="004848C8"/>
    <w:rsid w:val="00486DC3"/>
    <w:rsid w:val="00486E20"/>
    <w:rsid w:val="00487A35"/>
    <w:rsid w:val="00490527"/>
    <w:rsid w:val="00493DB8"/>
    <w:rsid w:val="004970FC"/>
    <w:rsid w:val="004A3E3C"/>
    <w:rsid w:val="004A41A4"/>
    <w:rsid w:val="004A60EB"/>
    <w:rsid w:val="004A6DF9"/>
    <w:rsid w:val="004B0D2D"/>
    <w:rsid w:val="004B23AE"/>
    <w:rsid w:val="004B5FB3"/>
    <w:rsid w:val="004B63CC"/>
    <w:rsid w:val="004B6747"/>
    <w:rsid w:val="004B67A1"/>
    <w:rsid w:val="004B753D"/>
    <w:rsid w:val="004C2863"/>
    <w:rsid w:val="004C5E43"/>
    <w:rsid w:val="004D0502"/>
    <w:rsid w:val="004D08A1"/>
    <w:rsid w:val="004D093F"/>
    <w:rsid w:val="004D0FE7"/>
    <w:rsid w:val="004D1451"/>
    <w:rsid w:val="004D1EAF"/>
    <w:rsid w:val="004D22DE"/>
    <w:rsid w:val="004D2E05"/>
    <w:rsid w:val="004D3C57"/>
    <w:rsid w:val="004D656B"/>
    <w:rsid w:val="004E2ABB"/>
    <w:rsid w:val="004E2AFE"/>
    <w:rsid w:val="004F2584"/>
    <w:rsid w:val="0050163B"/>
    <w:rsid w:val="00501C8E"/>
    <w:rsid w:val="00502DD9"/>
    <w:rsid w:val="0050542C"/>
    <w:rsid w:val="00505A76"/>
    <w:rsid w:val="00506F38"/>
    <w:rsid w:val="00506FB6"/>
    <w:rsid w:val="00514CCF"/>
    <w:rsid w:val="00514CE5"/>
    <w:rsid w:val="00514D59"/>
    <w:rsid w:val="00521A80"/>
    <w:rsid w:val="0054008A"/>
    <w:rsid w:val="00542E0E"/>
    <w:rsid w:val="00543FE5"/>
    <w:rsid w:val="00544C4E"/>
    <w:rsid w:val="00547EC4"/>
    <w:rsid w:val="0055212C"/>
    <w:rsid w:val="00557E4B"/>
    <w:rsid w:val="00560E8F"/>
    <w:rsid w:val="0056133E"/>
    <w:rsid w:val="005645C6"/>
    <w:rsid w:val="00566179"/>
    <w:rsid w:val="00567680"/>
    <w:rsid w:val="00574300"/>
    <w:rsid w:val="00574B22"/>
    <w:rsid w:val="005756A0"/>
    <w:rsid w:val="00577361"/>
    <w:rsid w:val="00586090"/>
    <w:rsid w:val="0058613F"/>
    <w:rsid w:val="00587456"/>
    <w:rsid w:val="00587B9C"/>
    <w:rsid w:val="00591376"/>
    <w:rsid w:val="00593C9D"/>
    <w:rsid w:val="00597311"/>
    <w:rsid w:val="00597CAE"/>
    <w:rsid w:val="005A07B8"/>
    <w:rsid w:val="005A142D"/>
    <w:rsid w:val="005A23E1"/>
    <w:rsid w:val="005A66C9"/>
    <w:rsid w:val="005A6DC8"/>
    <w:rsid w:val="005A7394"/>
    <w:rsid w:val="005B0759"/>
    <w:rsid w:val="005B120A"/>
    <w:rsid w:val="005B26FA"/>
    <w:rsid w:val="005B62CE"/>
    <w:rsid w:val="005B6FB4"/>
    <w:rsid w:val="005C1E68"/>
    <w:rsid w:val="005C428F"/>
    <w:rsid w:val="005C64AE"/>
    <w:rsid w:val="005C759B"/>
    <w:rsid w:val="005D0209"/>
    <w:rsid w:val="005D11ED"/>
    <w:rsid w:val="005D22E1"/>
    <w:rsid w:val="005D5702"/>
    <w:rsid w:val="005D66AA"/>
    <w:rsid w:val="005E1C3E"/>
    <w:rsid w:val="005E384F"/>
    <w:rsid w:val="005E407B"/>
    <w:rsid w:val="005E435F"/>
    <w:rsid w:val="005E5AD9"/>
    <w:rsid w:val="005E6A0B"/>
    <w:rsid w:val="005F032D"/>
    <w:rsid w:val="005F234D"/>
    <w:rsid w:val="005F2CCE"/>
    <w:rsid w:val="005F7668"/>
    <w:rsid w:val="005F766F"/>
    <w:rsid w:val="0060088A"/>
    <w:rsid w:val="006022EA"/>
    <w:rsid w:val="00602385"/>
    <w:rsid w:val="00603819"/>
    <w:rsid w:val="00604E5C"/>
    <w:rsid w:val="00605BA9"/>
    <w:rsid w:val="00605D62"/>
    <w:rsid w:val="006069AD"/>
    <w:rsid w:val="00612B8C"/>
    <w:rsid w:val="00614FE0"/>
    <w:rsid w:val="006177A5"/>
    <w:rsid w:val="00620F61"/>
    <w:rsid w:val="00622197"/>
    <w:rsid w:val="006248D4"/>
    <w:rsid w:val="006253AE"/>
    <w:rsid w:val="00625535"/>
    <w:rsid w:val="006306B6"/>
    <w:rsid w:val="00636AE6"/>
    <w:rsid w:val="0063753C"/>
    <w:rsid w:val="00637959"/>
    <w:rsid w:val="00640D02"/>
    <w:rsid w:val="006424D1"/>
    <w:rsid w:val="00644F7F"/>
    <w:rsid w:val="006579E8"/>
    <w:rsid w:val="006617CD"/>
    <w:rsid w:val="00664DF4"/>
    <w:rsid w:val="0066799F"/>
    <w:rsid w:val="0067196C"/>
    <w:rsid w:val="006800D2"/>
    <w:rsid w:val="006823C2"/>
    <w:rsid w:val="00684699"/>
    <w:rsid w:val="00686980"/>
    <w:rsid w:val="00693DDD"/>
    <w:rsid w:val="00696473"/>
    <w:rsid w:val="006A1D33"/>
    <w:rsid w:val="006A29D8"/>
    <w:rsid w:val="006A4A44"/>
    <w:rsid w:val="006A4F76"/>
    <w:rsid w:val="006B10B2"/>
    <w:rsid w:val="006B4181"/>
    <w:rsid w:val="006B5E9F"/>
    <w:rsid w:val="006B6F3A"/>
    <w:rsid w:val="006B7150"/>
    <w:rsid w:val="006C117F"/>
    <w:rsid w:val="006C3773"/>
    <w:rsid w:val="006C3DEA"/>
    <w:rsid w:val="006C6422"/>
    <w:rsid w:val="006D121F"/>
    <w:rsid w:val="006D1A72"/>
    <w:rsid w:val="006D2878"/>
    <w:rsid w:val="006D4D1C"/>
    <w:rsid w:val="006D6990"/>
    <w:rsid w:val="006E2D86"/>
    <w:rsid w:val="006E2D8D"/>
    <w:rsid w:val="006F165A"/>
    <w:rsid w:val="006F751B"/>
    <w:rsid w:val="006F797F"/>
    <w:rsid w:val="0070690A"/>
    <w:rsid w:val="00712EC9"/>
    <w:rsid w:val="007131BF"/>
    <w:rsid w:val="00715D0A"/>
    <w:rsid w:val="00716350"/>
    <w:rsid w:val="007166AD"/>
    <w:rsid w:val="00717775"/>
    <w:rsid w:val="00717A6A"/>
    <w:rsid w:val="007217CC"/>
    <w:rsid w:val="0072681F"/>
    <w:rsid w:val="00732B0F"/>
    <w:rsid w:val="00733787"/>
    <w:rsid w:val="00735446"/>
    <w:rsid w:val="00735929"/>
    <w:rsid w:val="0074066E"/>
    <w:rsid w:val="00741380"/>
    <w:rsid w:val="00741782"/>
    <w:rsid w:val="00743928"/>
    <w:rsid w:val="0074462B"/>
    <w:rsid w:val="007458FD"/>
    <w:rsid w:val="00745973"/>
    <w:rsid w:val="007500C1"/>
    <w:rsid w:val="00753CEA"/>
    <w:rsid w:val="007544AE"/>
    <w:rsid w:val="007564AC"/>
    <w:rsid w:val="00760C9E"/>
    <w:rsid w:val="00761953"/>
    <w:rsid w:val="00766244"/>
    <w:rsid w:val="007739BC"/>
    <w:rsid w:val="00776257"/>
    <w:rsid w:val="00787208"/>
    <w:rsid w:val="00790850"/>
    <w:rsid w:val="00793F52"/>
    <w:rsid w:val="007A438E"/>
    <w:rsid w:val="007A5DEF"/>
    <w:rsid w:val="007A6C0D"/>
    <w:rsid w:val="007B00F0"/>
    <w:rsid w:val="007B3A0E"/>
    <w:rsid w:val="007B3B86"/>
    <w:rsid w:val="007B5815"/>
    <w:rsid w:val="007B7A29"/>
    <w:rsid w:val="007C0B9C"/>
    <w:rsid w:val="007C50C4"/>
    <w:rsid w:val="007C6A71"/>
    <w:rsid w:val="007D030D"/>
    <w:rsid w:val="007D11E2"/>
    <w:rsid w:val="007D4D81"/>
    <w:rsid w:val="007D5B72"/>
    <w:rsid w:val="007D6E9F"/>
    <w:rsid w:val="007D7729"/>
    <w:rsid w:val="007E1916"/>
    <w:rsid w:val="007E38D4"/>
    <w:rsid w:val="007E5DE6"/>
    <w:rsid w:val="007F0E03"/>
    <w:rsid w:val="007F1AA1"/>
    <w:rsid w:val="007F5773"/>
    <w:rsid w:val="007F6042"/>
    <w:rsid w:val="007F620C"/>
    <w:rsid w:val="007F658C"/>
    <w:rsid w:val="007F710C"/>
    <w:rsid w:val="00801829"/>
    <w:rsid w:val="0080683B"/>
    <w:rsid w:val="0081055F"/>
    <w:rsid w:val="00811C69"/>
    <w:rsid w:val="00814013"/>
    <w:rsid w:val="008156F4"/>
    <w:rsid w:val="00816ED8"/>
    <w:rsid w:val="00821DE6"/>
    <w:rsid w:val="00822016"/>
    <w:rsid w:val="00824DED"/>
    <w:rsid w:val="00827897"/>
    <w:rsid w:val="00837866"/>
    <w:rsid w:val="00842E9C"/>
    <w:rsid w:val="00843441"/>
    <w:rsid w:val="00843DC6"/>
    <w:rsid w:val="008477EA"/>
    <w:rsid w:val="008502BC"/>
    <w:rsid w:val="00851D31"/>
    <w:rsid w:val="00851F5B"/>
    <w:rsid w:val="00853947"/>
    <w:rsid w:val="00854D47"/>
    <w:rsid w:val="00854DE7"/>
    <w:rsid w:val="0085623F"/>
    <w:rsid w:val="00857164"/>
    <w:rsid w:val="00863160"/>
    <w:rsid w:val="00871E3B"/>
    <w:rsid w:val="0087242A"/>
    <w:rsid w:val="00872FFA"/>
    <w:rsid w:val="008742ED"/>
    <w:rsid w:val="0087792B"/>
    <w:rsid w:val="00881142"/>
    <w:rsid w:val="00881836"/>
    <w:rsid w:val="008824FA"/>
    <w:rsid w:val="00882BB6"/>
    <w:rsid w:val="008841BC"/>
    <w:rsid w:val="0088458A"/>
    <w:rsid w:val="008855AC"/>
    <w:rsid w:val="00885982"/>
    <w:rsid w:val="00886534"/>
    <w:rsid w:val="008874BD"/>
    <w:rsid w:val="008904CA"/>
    <w:rsid w:val="008914BD"/>
    <w:rsid w:val="00897F2D"/>
    <w:rsid w:val="008A0EA3"/>
    <w:rsid w:val="008A3212"/>
    <w:rsid w:val="008A41CC"/>
    <w:rsid w:val="008A49DC"/>
    <w:rsid w:val="008A792C"/>
    <w:rsid w:val="008B31EB"/>
    <w:rsid w:val="008C0B46"/>
    <w:rsid w:val="008C15DC"/>
    <w:rsid w:val="008C6DCE"/>
    <w:rsid w:val="008D06FA"/>
    <w:rsid w:val="008D0EC9"/>
    <w:rsid w:val="008D2433"/>
    <w:rsid w:val="008D5FD9"/>
    <w:rsid w:val="008D74DB"/>
    <w:rsid w:val="008D7C76"/>
    <w:rsid w:val="008E2382"/>
    <w:rsid w:val="008E5C57"/>
    <w:rsid w:val="008F1089"/>
    <w:rsid w:val="008F2827"/>
    <w:rsid w:val="008F2D7E"/>
    <w:rsid w:val="008F5CE0"/>
    <w:rsid w:val="0090108E"/>
    <w:rsid w:val="0090770D"/>
    <w:rsid w:val="00913E2C"/>
    <w:rsid w:val="00916FA2"/>
    <w:rsid w:val="0092149F"/>
    <w:rsid w:val="0092295D"/>
    <w:rsid w:val="00926908"/>
    <w:rsid w:val="00935198"/>
    <w:rsid w:val="00935827"/>
    <w:rsid w:val="00937B54"/>
    <w:rsid w:val="00941E5F"/>
    <w:rsid w:val="00953AA3"/>
    <w:rsid w:val="00954866"/>
    <w:rsid w:val="009570C7"/>
    <w:rsid w:val="00961121"/>
    <w:rsid w:val="00961122"/>
    <w:rsid w:val="00962CD0"/>
    <w:rsid w:val="00974DE7"/>
    <w:rsid w:val="009769F0"/>
    <w:rsid w:val="00980703"/>
    <w:rsid w:val="00982740"/>
    <w:rsid w:val="0098424A"/>
    <w:rsid w:val="00987F66"/>
    <w:rsid w:val="00992C94"/>
    <w:rsid w:val="00992EE9"/>
    <w:rsid w:val="0099677E"/>
    <w:rsid w:val="009A4E75"/>
    <w:rsid w:val="009B31AD"/>
    <w:rsid w:val="009B448B"/>
    <w:rsid w:val="009C393E"/>
    <w:rsid w:val="009C6C87"/>
    <w:rsid w:val="009D2326"/>
    <w:rsid w:val="009D23DF"/>
    <w:rsid w:val="009D41AD"/>
    <w:rsid w:val="009D523A"/>
    <w:rsid w:val="009D5D18"/>
    <w:rsid w:val="009E0BFF"/>
    <w:rsid w:val="009E3A85"/>
    <w:rsid w:val="009E7FD6"/>
    <w:rsid w:val="009F0807"/>
    <w:rsid w:val="009F1D70"/>
    <w:rsid w:val="009F4989"/>
    <w:rsid w:val="009F5F9C"/>
    <w:rsid w:val="009F7A4D"/>
    <w:rsid w:val="00A01046"/>
    <w:rsid w:val="00A02544"/>
    <w:rsid w:val="00A02E88"/>
    <w:rsid w:val="00A042F1"/>
    <w:rsid w:val="00A04D38"/>
    <w:rsid w:val="00A04EDE"/>
    <w:rsid w:val="00A06B66"/>
    <w:rsid w:val="00A06C46"/>
    <w:rsid w:val="00A10E3F"/>
    <w:rsid w:val="00A111A5"/>
    <w:rsid w:val="00A14049"/>
    <w:rsid w:val="00A14C0C"/>
    <w:rsid w:val="00A14D70"/>
    <w:rsid w:val="00A22816"/>
    <w:rsid w:val="00A23D0F"/>
    <w:rsid w:val="00A25C68"/>
    <w:rsid w:val="00A30E2A"/>
    <w:rsid w:val="00A31D26"/>
    <w:rsid w:val="00A338F8"/>
    <w:rsid w:val="00A365B4"/>
    <w:rsid w:val="00A37101"/>
    <w:rsid w:val="00A37B8A"/>
    <w:rsid w:val="00A40896"/>
    <w:rsid w:val="00A447BD"/>
    <w:rsid w:val="00A47797"/>
    <w:rsid w:val="00A50B5B"/>
    <w:rsid w:val="00A50E9C"/>
    <w:rsid w:val="00A52F8D"/>
    <w:rsid w:val="00A57974"/>
    <w:rsid w:val="00A6563B"/>
    <w:rsid w:val="00A658F7"/>
    <w:rsid w:val="00A66B00"/>
    <w:rsid w:val="00A71BBD"/>
    <w:rsid w:val="00A71C54"/>
    <w:rsid w:val="00A73350"/>
    <w:rsid w:val="00A7406D"/>
    <w:rsid w:val="00A742BD"/>
    <w:rsid w:val="00A838CD"/>
    <w:rsid w:val="00A84957"/>
    <w:rsid w:val="00A8524C"/>
    <w:rsid w:val="00A861D3"/>
    <w:rsid w:val="00A90482"/>
    <w:rsid w:val="00A90489"/>
    <w:rsid w:val="00A9127C"/>
    <w:rsid w:val="00A92D28"/>
    <w:rsid w:val="00AA07AC"/>
    <w:rsid w:val="00AA13F7"/>
    <w:rsid w:val="00AA18D9"/>
    <w:rsid w:val="00AA2075"/>
    <w:rsid w:val="00AA30C3"/>
    <w:rsid w:val="00AA3BE6"/>
    <w:rsid w:val="00AA4545"/>
    <w:rsid w:val="00AA4C0D"/>
    <w:rsid w:val="00AA53A8"/>
    <w:rsid w:val="00AA5419"/>
    <w:rsid w:val="00AB06DC"/>
    <w:rsid w:val="00AB1898"/>
    <w:rsid w:val="00AB3F91"/>
    <w:rsid w:val="00AB46AE"/>
    <w:rsid w:val="00AB736F"/>
    <w:rsid w:val="00AB76C4"/>
    <w:rsid w:val="00AC0B94"/>
    <w:rsid w:val="00AC1F66"/>
    <w:rsid w:val="00AC49B7"/>
    <w:rsid w:val="00AD1798"/>
    <w:rsid w:val="00AD2660"/>
    <w:rsid w:val="00AD3040"/>
    <w:rsid w:val="00AD42D5"/>
    <w:rsid w:val="00AD45F2"/>
    <w:rsid w:val="00AD60DE"/>
    <w:rsid w:val="00AE351D"/>
    <w:rsid w:val="00AF6548"/>
    <w:rsid w:val="00AF7D4F"/>
    <w:rsid w:val="00B02F43"/>
    <w:rsid w:val="00B067E4"/>
    <w:rsid w:val="00B126AB"/>
    <w:rsid w:val="00B219C1"/>
    <w:rsid w:val="00B2234C"/>
    <w:rsid w:val="00B2438C"/>
    <w:rsid w:val="00B2629E"/>
    <w:rsid w:val="00B269BD"/>
    <w:rsid w:val="00B36FF2"/>
    <w:rsid w:val="00B47E23"/>
    <w:rsid w:val="00B54913"/>
    <w:rsid w:val="00B55F14"/>
    <w:rsid w:val="00B56F7C"/>
    <w:rsid w:val="00B576F3"/>
    <w:rsid w:val="00B60D12"/>
    <w:rsid w:val="00B6305A"/>
    <w:rsid w:val="00B64079"/>
    <w:rsid w:val="00B710CC"/>
    <w:rsid w:val="00B7185D"/>
    <w:rsid w:val="00B72C0F"/>
    <w:rsid w:val="00B73B8C"/>
    <w:rsid w:val="00B81EB5"/>
    <w:rsid w:val="00B83343"/>
    <w:rsid w:val="00B92F76"/>
    <w:rsid w:val="00BA019F"/>
    <w:rsid w:val="00BA44D6"/>
    <w:rsid w:val="00BA565A"/>
    <w:rsid w:val="00BB0CEB"/>
    <w:rsid w:val="00BC1CDC"/>
    <w:rsid w:val="00BC7FBC"/>
    <w:rsid w:val="00BD1188"/>
    <w:rsid w:val="00BD5011"/>
    <w:rsid w:val="00BE286E"/>
    <w:rsid w:val="00BE41E8"/>
    <w:rsid w:val="00BF06A4"/>
    <w:rsid w:val="00BF2237"/>
    <w:rsid w:val="00C00D2D"/>
    <w:rsid w:val="00C01607"/>
    <w:rsid w:val="00C06C6E"/>
    <w:rsid w:val="00C0731A"/>
    <w:rsid w:val="00C076E2"/>
    <w:rsid w:val="00C11C80"/>
    <w:rsid w:val="00C12D6E"/>
    <w:rsid w:val="00C13589"/>
    <w:rsid w:val="00C17B72"/>
    <w:rsid w:val="00C17EAA"/>
    <w:rsid w:val="00C21490"/>
    <w:rsid w:val="00C22B31"/>
    <w:rsid w:val="00C25350"/>
    <w:rsid w:val="00C253E0"/>
    <w:rsid w:val="00C26872"/>
    <w:rsid w:val="00C26A47"/>
    <w:rsid w:val="00C30DD0"/>
    <w:rsid w:val="00C3115A"/>
    <w:rsid w:val="00C33484"/>
    <w:rsid w:val="00C33711"/>
    <w:rsid w:val="00C378A4"/>
    <w:rsid w:val="00C423D1"/>
    <w:rsid w:val="00C43BBE"/>
    <w:rsid w:val="00C44AF4"/>
    <w:rsid w:val="00C46400"/>
    <w:rsid w:val="00C50D27"/>
    <w:rsid w:val="00C5198C"/>
    <w:rsid w:val="00C51C9D"/>
    <w:rsid w:val="00C546F3"/>
    <w:rsid w:val="00C562DB"/>
    <w:rsid w:val="00C60554"/>
    <w:rsid w:val="00C63150"/>
    <w:rsid w:val="00C63DDC"/>
    <w:rsid w:val="00C65760"/>
    <w:rsid w:val="00C70C27"/>
    <w:rsid w:val="00C74F9B"/>
    <w:rsid w:val="00C759E4"/>
    <w:rsid w:val="00C75B2E"/>
    <w:rsid w:val="00C76BA4"/>
    <w:rsid w:val="00C77695"/>
    <w:rsid w:val="00C80CD3"/>
    <w:rsid w:val="00C80F51"/>
    <w:rsid w:val="00C81FAB"/>
    <w:rsid w:val="00C83E56"/>
    <w:rsid w:val="00C86A7F"/>
    <w:rsid w:val="00C9335C"/>
    <w:rsid w:val="00C9402D"/>
    <w:rsid w:val="00C94A86"/>
    <w:rsid w:val="00C97D23"/>
    <w:rsid w:val="00CA2362"/>
    <w:rsid w:val="00CB0944"/>
    <w:rsid w:val="00CC58D1"/>
    <w:rsid w:val="00CD0244"/>
    <w:rsid w:val="00CD29C4"/>
    <w:rsid w:val="00CD4AF3"/>
    <w:rsid w:val="00CE0D28"/>
    <w:rsid w:val="00CE3C19"/>
    <w:rsid w:val="00CF03A7"/>
    <w:rsid w:val="00CF10DA"/>
    <w:rsid w:val="00CF49A2"/>
    <w:rsid w:val="00CF4B7E"/>
    <w:rsid w:val="00CF524D"/>
    <w:rsid w:val="00D00B32"/>
    <w:rsid w:val="00D05933"/>
    <w:rsid w:val="00D06ADC"/>
    <w:rsid w:val="00D06BE6"/>
    <w:rsid w:val="00D12622"/>
    <w:rsid w:val="00D135A2"/>
    <w:rsid w:val="00D14ECD"/>
    <w:rsid w:val="00D171A3"/>
    <w:rsid w:val="00D20020"/>
    <w:rsid w:val="00D20913"/>
    <w:rsid w:val="00D2276A"/>
    <w:rsid w:val="00D23DA7"/>
    <w:rsid w:val="00D2768B"/>
    <w:rsid w:val="00D3275D"/>
    <w:rsid w:val="00D343C8"/>
    <w:rsid w:val="00D350B6"/>
    <w:rsid w:val="00D368C8"/>
    <w:rsid w:val="00D36C7F"/>
    <w:rsid w:val="00D4586D"/>
    <w:rsid w:val="00D47F1D"/>
    <w:rsid w:val="00D52A9B"/>
    <w:rsid w:val="00D52EC5"/>
    <w:rsid w:val="00D53546"/>
    <w:rsid w:val="00D55ED4"/>
    <w:rsid w:val="00D57D9D"/>
    <w:rsid w:val="00D6208C"/>
    <w:rsid w:val="00D63A6E"/>
    <w:rsid w:val="00D71A1F"/>
    <w:rsid w:val="00D72D13"/>
    <w:rsid w:val="00D7353D"/>
    <w:rsid w:val="00D772BA"/>
    <w:rsid w:val="00D82C5B"/>
    <w:rsid w:val="00D9177A"/>
    <w:rsid w:val="00D9216A"/>
    <w:rsid w:val="00D954C9"/>
    <w:rsid w:val="00DA015A"/>
    <w:rsid w:val="00DA047F"/>
    <w:rsid w:val="00DA10F7"/>
    <w:rsid w:val="00DA3E0E"/>
    <w:rsid w:val="00DA513E"/>
    <w:rsid w:val="00DA71E9"/>
    <w:rsid w:val="00DB0969"/>
    <w:rsid w:val="00DB1BAA"/>
    <w:rsid w:val="00DB5475"/>
    <w:rsid w:val="00DB66D6"/>
    <w:rsid w:val="00DD0D8C"/>
    <w:rsid w:val="00DD12B2"/>
    <w:rsid w:val="00DD1F2B"/>
    <w:rsid w:val="00DD2F40"/>
    <w:rsid w:val="00DD310F"/>
    <w:rsid w:val="00DD3119"/>
    <w:rsid w:val="00DD4217"/>
    <w:rsid w:val="00DD5E30"/>
    <w:rsid w:val="00DE62A8"/>
    <w:rsid w:val="00DE6D31"/>
    <w:rsid w:val="00DF16B5"/>
    <w:rsid w:val="00DF16F2"/>
    <w:rsid w:val="00DF4571"/>
    <w:rsid w:val="00E03DE1"/>
    <w:rsid w:val="00E1069B"/>
    <w:rsid w:val="00E15FCF"/>
    <w:rsid w:val="00E165D9"/>
    <w:rsid w:val="00E17D7D"/>
    <w:rsid w:val="00E25393"/>
    <w:rsid w:val="00E253AC"/>
    <w:rsid w:val="00E25541"/>
    <w:rsid w:val="00E258B5"/>
    <w:rsid w:val="00E25D0E"/>
    <w:rsid w:val="00E3376F"/>
    <w:rsid w:val="00E41795"/>
    <w:rsid w:val="00E44A37"/>
    <w:rsid w:val="00E468D0"/>
    <w:rsid w:val="00E51808"/>
    <w:rsid w:val="00E545A7"/>
    <w:rsid w:val="00E56022"/>
    <w:rsid w:val="00E57690"/>
    <w:rsid w:val="00E616A1"/>
    <w:rsid w:val="00E63780"/>
    <w:rsid w:val="00E63A19"/>
    <w:rsid w:val="00E644B8"/>
    <w:rsid w:val="00E660F6"/>
    <w:rsid w:val="00E774E9"/>
    <w:rsid w:val="00E85565"/>
    <w:rsid w:val="00E90D0A"/>
    <w:rsid w:val="00E92715"/>
    <w:rsid w:val="00E94D8D"/>
    <w:rsid w:val="00E9589B"/>
    <w:rsid w:val="00EA0546"/>
    <w:rsid w:val="00EA29E7"/>
    <w:rsid w:val="00EA3B68"/>
    <w:rsid w:val="00EA4DC0"/>
    <w:rsid w:val="00EA68DE"/>
    <w:rsid w:val="00EA7D1E"/>
    <w:rsid w:val="00EB054E"/>
    <w:rsid w:val="00EB11B7"/>
    <w:rsid w:val="00EB18B0"/>
    <w:rsid w:val="00EB2663"/>
    <w:rsid w:val="00EB4FBC"/>
    <w:rsid w:val="00EB661D"/>
    <w:rsid w:val="00EC3535"/>
    <w:rsid w:val="00EC4C30"/>
    <w:rsid w:val="00EC6ECE"/>
    <w:rsid w:val="00ED2B57"/>
    <w:rsid w:val="00ED31F7"/>
    <w:rsid w:val="00ED337C"/>
    <w:rsid w:val="00EE4DA8"/>
    <w:rsid w:val="00EE7210"/>
    <w:rsid w:val="00EE72EC"/>
    <w:rsid w:val="00EF0BBB"/>
    <w:rsid w:val="00EF4617"/>
    <w:rsid w:val="00F0633F"/>
    <w:rsid w:val="00F133B5"/>
    <w:rsid w:val="00F13543"/>
    <w:rsid w:val="00F15DF4"/>
    <w:rsid w:val="00F15F1B"/>
    <w:rsid w:val="00F17B15"/>
    <w:rsid w:val="00F20E5E"/>
    <w:rsid w:val="00F21659"/>
    <w:rsid w:val="00F217D4"/>
    <w:rsid w:val="00F23049"/>
    <w:rsid w:val="00F276CB"/>
    <w:rsid w:val="00F27CF0"/>
    <w:rsid w:val="00F3257A"/>
    <w:rsid w:val="00F3489A"/>
    <w:rsid w:val="00F3740D"/>
    <w:rsid w:val="00F45064"/>
    <w:rsid w:val="00F5115B"/>
    <w:rsid w:val="00F5339E"/>
    <w:rsid w:val="00F5499D"/>
    <w:rsid w:val="00F55BB1"/>
    <w:rsid w:val="00F60CB5"/>
    <w:rsid w:val="00F61B88"/>
    <w:rsid w:val="00F63990"/>
    <w:rsid w:val="00F641DF"/>
    <w:rsid w:val="00F667ED"/>
    <w:rsid w:val="00F70CC8"/>
    <w:rsid w:val="00F74329"/>
    <w:rsid w:val="00F76BC1"/>
    <w:rsid w:val="00F80A40"/>
    <w:rsid w:val="00F82393"/>
    <w:rsid w:val="00F846C5"/>
    <w:rsid w:val="00F84DFA"/>
    <w:rsid w:val="00F87C3A"/>
    <w:rsid w:val="00F90EDA"/>
    <w:rsid w:val="00F916DB"/>
    <w:rsid w:val="00F92ABC"/>
    <w:rsid w:val="00F947BC"/>
    <w:rsid w:val="00F96828"/>
    <w:rsid w:val="00FA2B07"/>
    <w:rsid w:val="00FA2EAA"/>
    <w:rsid w:val="00FA2F95"/>
    <w:rsid w:val="00FA37FE"/>
    <w:rsid w:val="00FB1278"/>
    <w:rsid w:val="00FB30FB"/>
    <w:rsid w:val="00FB43CE"/>
    <w:rsid w:val="00FB61EC"/>
    <w:rsid w:val="00FC2DF2"/>
    <w:rsid w:val="00FC30CD"/>
    <w:rsid w:val="00FC354E"/>
    <w:rsid w:val="00FC5C2D"/>
    <w:rsid w:val="00FD6823"/>
    <w:rsid w:val="00FE0420"/>
    <w:rsid w:val="00FE1F9A"/>
    <w:rsid w:val="00FE468B"/>
    <w:rsid w:val="00FF1A4F"/>
    <w:rsid w:val="00FF2F47"/>
    <w:rsid w:val="00FF5AB8"/>
    <w:rsid w:val="00FF6EC8"/>
    <w:rsid w:val="00FF7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29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D18"/>
    <w:pPr>
      <w:tabs>
        <w:tab w:val="center" w:pos="4153"/>
        <w:tab w:val="right" w:pos="8306"/>
      </w:tabs>
    </w:pPr>
  </w:style>
  <w:style w:type="paragraph" w:styleId="Footer">
    <w:name w:val="footer"/>
    <w:basedOn w:val="Normal"/>
    <w:link w:val="FooterChar"/>
    <w:uiPriority w:val="99"/>
    <w:rsid w:val="009D5D18"/>
    <w:pPr>
      <w:tabs>
        <w:tab w:val="center" w:pos="4153"/>
        <w:tab w:val="right" w:pos="8306"/>
      </w:tabs>
    </w:pPr>
  </w:style>
  <w:style w:type="character" w:customStyle="1" w:styleId="endsenrhsennumparatext">
    <w:name w:val="ends enrhs ennumparatext"/>
    <w:basedOn w:val="DefaultParagraphFont"/>
    <w:rsid w:val="00640D02"/>
  </w:style>
  <w:style w:type="table" w:styleId="TableGrid">
    <w:name w:val="Table Grid"/>
    <w:basedOn w:val="TableNormal"/>
    <w:rsid w:val="0090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447E"/>
    <w:rPr>
      <w:rFonts w:ascii="Tahoma" w:hAnsi="Tahoma" w:cs="Tahoma"/>
      <w:sz w:val="16"/>
      <w:szCs w:val="16"/>
    </w:rPr>
  </w:style>
  <w:style w:type="paragraph" w:styleId="ListParagraph">
    <w:name w:val="List Paragraph"/>
    <w:basedOn w:val="Normal"/>
    <w:uiPriority w:val="34"/>
    <w:qFormat/>
    <w:rsid w:val="00557E4B"/>
    <w:pPr>
      <w:ind w:left="720"/>
      <w:contextualSpacing/>
    </w:pPr>
  </w:style>
  <w:style w:type="character" w:styleId="CommentReference">
    <w:name w:val="annotation reference"/>
    <w:basedOn w:val="DefaultParagraphFont"/>
    <w:rsid w:val="0074066E"/>
    <w:rPr>
      <w:sz w:val="16"/>
      <w:szCs w:val="16"/>
    </w:rPr>
  </w:style>
  <w:style w:type="paragraph" w:styleId="CommentText">
    <w:name w:val="annotation text"/>
    <w:basedOn w:val="Normal"/>
    <w:link w:val="CommentTextChar"/>
    <w:rsid w:val="0074066E"/>
  </w:style>
  <w:style w:type="character" w:customStyle="1" w:styleId="CommentTextChar">
    <w:name w:val="Comment Text Char"/>
    <w:basedOn w:val="DefaultParagraphFont"/>
    <w:link w:val="CommentText"/>
    <w:rsid w:val="0074066E"/>
    <w:rPr>
      <w:lang w:eastAsia="en-US"/>
    </w:rPr>
  </w:style>
  <w:style w:type="paragraph" w:styleId="CommentSubject">
    <w:name w:val="annotation subject"/>
    <w:basedOn w:val="CommentText"/>
    <w:next w:val="CommentText"/>
    <w:link w:val="CommentSubjectChar"/>
    <w:rsid w:val="0074066E"/>
    <w:rPr>
      <w:b/>
      <w:bCs/>
    </w:rPr>
  </w:style>
  <w:style w:type="character" w:customStyle="1" w:styleId="CommentSubjectChar">
    <w:name w:val="Comment Subject Char"/>
    <w:basedOn w:val="CommentTextChar"/>
    <w:link w:val="CommentSubject"/>
    <w:rsid w:val="0074066E"/>
    <w:rPr>
      <w:b/>
      <w:bCs/>
      <w:lang w:eastAsia="en-US"/>
    </w:rPr>
  </w:style>
  <w:style w:type="character" w:customStyle="1" w:styleId="FooterChar">
    <w:name w:val="Footer Char"/>
    <w:basedOn w:val="DefaultParagraphFont"/>
    <w:link w:val="Footer"/>
    <w:uiPriority w:val="99"/>
    <w:rsid w:val="00F15F1B"/>
    <w:rPr>
      <w:lang w:eastAsia="en-US"/>
    </w:rPr>
  </w:style>
  <w:style w:type="paragraph" w:styleId="Title">
    <w:name w:val="Title"/>
    <w:basedOn w:val="Normal"/>
    <w:link w:val="TitleChar"/>
    <w:qFormat/>
    <w:rsid w:val="006823C2"/>
    <w:pPr>
      <w:tabs>
        <w:tab w:val="left" w:pos="720"/>
        <w:tab w:val="left" w:pos="1440"/>
        <w:tab w:val="left" w:pos="2160"/>
        <w:tab w:val="left" w:pos="2880"/>
        <w:tab w:val="left" w:pos="3600"/>
        <w:tab w:val="left" w:pos="4320"/>
        <w:tab w:val="left" w:pos="5040"/>
      </w:tabs>
      <w:jc w:val="center"/>
    </w:pPr>
    <w:rPr>
      <w:rFonts w:ascii="Arial" w:hAnsi="Arial"/>
      <w:u w:val="single"/>
    </w:rPr>
  </w:style>
  <w:style w:type="character" w:customStyle="1" w:styleId="TitleChar">
    <w:name w:val="Title Char"/>
    <w:basedOn w:val="DefaultParagraphFont"/>
    <w:link w:val="Title"/>
    <w:rsid w:val="006823C2"/>
    <w:rPr>
      <w:rFonts w:ascii="Arial" w:hAnsi="Arial"/>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29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D18"/>
    <w:pPr>
      <w:tabs>
        <w:tab w:val="center" w:pos="4153"/>
        <w:tab w:val="right" w:pos="8306"/>
      </w:tabs>
    </w:pPr>
  </w:style>
  <w:style w:type="paragraph" w:styleId="Footer">
    <w:name w:val="footer"/>
    <w:basedOn w:val="Normal"/>
    <w:link w:val="FooterChar"/>
    <w:uiPriority w:val="99"/>
    <w:rsid w:val="009D5D18"/>
    <w:pPr>
      <w:tabs>
        <w:tab w:val="center" w:pos="4153"/>
        <w:tab w:val="right" w:pos="8306"/>
      </w:tabs>
    </w:pPr>
  </w:style>
  <w:style w:type="character" w:customStyle="1" w:styleId="endsenrhsennumparatext">
    <w:name w:val="ends enrhs ennumparatext"/>
    <w:basedOn w:val="DefaultParagraphFont"/>
    <w:rsid w:val="00640D02"/>
  </w:style>
  <w:style w:type="table" w:styleId="TableGrid">
    <w:name w:val="Table Grid"/>
    <w:basedOn w:val="TableNormal"/>
    <w:rsid w:val="0090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447E"/>
    <w:rPr>
      <w:rFonts w:ascii="Tahoma" w:hAnsi="Tahoma" w:cs="Tahoma"/>
      <w:sz w:val="16"/>
      <w:szCs w:val="16"/>
    </w:rPr>
  </w:style>
  <w:style w:type="paragraph" w:styleId="ListParagraph">
    <w:name w:val="List Paragraph"/>
    <w:basedOn w:val="Normal"/>
    <w:uiPriority w:val="34"/>
    <w:qFormat/>
    <w:rsid w:val="00557E4B"/>
    <w:pPr>
      <w:ind w:left="720"/>
      <w:contextualSpacing/>
    </w:pPr>
  </w:style>
  <w:style w:type="character" w:styleId="CommentReference">
    <w:name w:val="annotation reference"/>
    <w:basedOn w:val="DefaultParagraphFont"/>
    <w:rsid w:val="0074066E"/>
    <w:rPr>
      <w:sz w:val="16"/>
      <w:szCs w:val="16"/>
    </w:rPr>
  </w:style>
  <w:style w:type="paragraph" w:styleId="CommentText">
    <w:name w:val="annotation text"/>
    <w:basedOn w:val="Normal"/>
    <w:link w:val="CommentTextChar"/>
    <w:rsid w:val="0074066E"/>
  </w:style>
  <w:style w:type="character" w:customStyle="1" w:styleId="CommentTextChar">
    <w:name w:val="Comment Text Char"/>
    <w:basedOn w:val="DefaultParagraphFont"/>
    <w:link w:val="CommentText"/>
    <w:rsid w:val="0074066E"/>
    <w:rPr>
      <w:lang w:eastAsia="en-US"/>
    </w:rPr>
  </w:style>
  <w:style w:type="paragraph" w:styleId="CommentSubject">
    <w:name w:val="annotation subject"/>
    <w:basedOn w:val="CommentText"/>
    <w:next w:val="CommentText"/>
    <w:link w:val="CommentSubjectChar"/>
    <w:rsid w:val="0074066E"/>
    <w:rPr>
      <w:b/>
      <w:bCs/>
    </w:rPr>
  </w:style>
  <w:style w:type="character" w:customStyle="1" w:styleId="CommentSubjectChar">
    <w:name w:val="Comment Subject Char"/>
    <w:basedOn w:val="CommentTextChar"/>
    <w:link w:val="CommentSubject"/>
    <w:rsid w:val="0074066E"/>
    <w:rPr>
      <w:b/>
      <w:bCs/>
      <w:lang w:eastAsia="en-US"/>
    </w:rPr>
  </w:style>
  <w:style w:type="character" w:customStyle="1" w:styleId="FooterChar">
    <w:name w:val="Footer Char"/>
    <w:basedOn w:val="DefaultParagraphFont"/>
    <w:link w:val="Footer"/>
    <w:uiPriority w:val="99"/>
    <w:rsid w:val="00F15F1B"/>
    <w:rPr>
      <w:lang w:eastAsia="en-US"/>
    </w:rPr>
  </w:style>
  <w:style w:type="paragraph" w:styleId="Title">
    <w:name w:val="Title"/>
    <w:basedOn w:val="Normal"/>
    <w:link w:val="TitleChar"/>
    <w:qFormat/>
    <w:rsid w:val="006823C2"/>
    <w:pPr>
      <w:tabs>
        <w:tab w:val="left" w:pos="720"/>
        <w:tab w:val="left" w:pos="1440"/>
        <w:tab w:val="left" w:pos="2160"/>
        <w:tab w:val="left" w:pos="2880"/>
        <w:tab w:val="left" w:pos="3600"/>
        <w:tab w:val="left" w:pos="4320"/>
        <w:tab w:val="left" w:pos="5040"/>
      </w:tabs>
      <w:jc w:val="center"/>
    </w:pPr>
    <w:rPr>
      <w:rFonts w:ascii="Arial" w:hAnsi="Arial"/>
      <w:u w:val="single"/>
    </w:rPr>
  </w:style>
  <w:style w:type="character" w:customStyle="1" w:styleId="TitleChar">
    <w:name w:val="Title Char"/>
    <w:basedOn w:val="DefaultParagraphFont"/>
    <w:link w:val="Title"/>
    <w:rsid w:val="006823C2"/>
    <w:rPr>
      <w:rFonts w:ascii="Arial" w:hAnsi="Arial"/>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7042">
      <w:bodyDiv w:val="1"/>
      <w:marLeft w:val="0"/>
      <w:marRight w:val="0"/>
      <w:marTop w:val="0"/>
      <w:marBottom w:val="0"/>
      <w:divBdr>
        <w:top w:val="none" w:sz="0" w:space="0" w:color="auto"/>
        <w:left w:val="none" w:sz="0" w:space="0" w:color="auto"/>
        <w:bottom w:val="none" w:sz="0" w:space="0" w:color="auto"/>
        <w:right w:val="none" w:sz="0" w:space="0" w:color="auto"/>
      </w:divBdr>
    </w:div>
    <w:div w:id="232786129">
      <w:bodyDiv w:val="1"/>
      <w:marLeft w:val="0"/>
      <w:marRight w:val="0"/>
      <w:marTop w:val="0"/>
      <w:marBottom w:val="0"/>
      <w:divBdr>
        <w:top w:val="none" w:sz="0" w:space="0" w:color="auto"/>
        <w:left w:val="none" w:sz="0" w:space="0" w:color="auto"/>
        <w:bottom w:val="none" w:sz="0" w:space="0" w:color="auto"/>
        <w:right w:val="none" w:sz="0" w:space="0" w:color="auto"/>
      </w:divBdr>
    </w:div>
    <w:div w:id="724721221">
      <w:bodyDiv w:val="1"/>
      <w:marLeft w:val="0"/>
      <w:marRight w:val="0"/>
      <w:marTop w:val="0"/>
      <w:marBottom w:val="0"/>
      <w:divBdr>
        <w:top w:val="none" w:sz="0" w:space="0" w:color="auto"/>
        <w:left w:val="none" w:sz="0" w:space="0" w:color="auto"/>
        <w:bottom w:val="none" w:sz="0" w:space="0" w:color="auto"/>
        <w:right w:val="none" w:sz="0" w:space="0" w:color="auto"/>
      </w:divBdr>
    </w:div>
    <w:div w:id="854196743">
      <w:bodyDiv w:val="1"/>
      <w:marLeft w:val="0"/>
      <w:marRight w:val="0"/>
      <w:marTop w:val="0"/>
      <w:marBottom w:val="0"/>
      <w:divBdr>
        <w:top w:val="none" w:sz="0" w:space="0" w:color="auto"/>
        <w:left w:val="none" w:sz="0" w:space="0" w:color="auto"/>
        <w:bottom w:val="none" w:sz="0" w:space="0" w:color="auto"/>
        <w:right w:val="none" w:sz="0" w:space="0" w:color="auto"/>
      </w:divBdr>
    </w:div>
    <w:div w:id="1235555547">
      <w:bodyDiv w:val="1"/>
      <w:marLeft w:val="0"/>
      <w:marRight w:val="0"/>
      <w:marTop w:val="0"/>
      <w:marBottom w:val="0"/>
      <w:divBdr>
        <w:top w:val="none" w:sz="0" w:space="0" w:color="auto"/>
        <w:left w:val="none" w:sz="0" w:space="0" w:color="auto"/>
        <w:bottom w:val="none" w:sz="0" w:space="0" w:color="auto"/>
        <w:right w:val="none" w:sz="0" w:space="0" w:color="auto"/>
      </w:divBdr>
    </w:div>
    <w:div w:id="1504786286">
      <w:bodyDiv w:val="1"/>
      <w:marLeft w:val="0"/>
      <w:marRight w:val="0"/>
      <w:marTop w:val="0"/>
      <w:marBottom w:val="0"/>
      <w:divBdr>
        <w:top w:val="none" w:sz="0" w:space="0" w:color="auto"/>
        <w:left w:val="none" w:sz="0" w:space="0" w:color="auto"/>
        <w:bottom w:val="none" w:sz="0" w:space="0" w:color="auto"/>
        <w:right w:val="none" w:sz="0" w:space="0" w:color="auto"/>
      </w:divBdr>
    </w:div>
    <w:div w:id="1614240991">
      <w:bodyDiv w:val="1"/>
      <w:marLeft w:val="0"/>
      <w:marRight w:val="0"/>
      <w:marTop w:val="0"/>
      <w:marBottom w:val="0"/>
      <w:divBdr>
        <w:top w:val="none" w:sz="0" w:space="0" w:color="auto"/>
        <w:left w:val="none" w:sz="0" w:space="0" w:color="auto"/>
        <w:bottom w:val="none" w:sz="0" w:space="0" w:color="auto"/>
        <w:right w:val="none" w:sz="0" w:space="0" w:color="auto"/>
      </w:divBdr>
    </w:div>
    <w:div w:id="17121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EBACE-2C1E-4802-B8FD-A39075D6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5160</Words>
  <Characters>29415</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GENERAL FUND BUDGET MONITORING REPORT</vt:lpstr>
    </vt:vector>
  </TitlesOfParts>
  <Company>Runnymede Borough Council</Company>
  <LinksUpToDate>false</LinksUpToDate>
  <CharactersWithSpaces>34506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FUND BUDGET MONITORING REPORT</dc:title>
  <dc:creator>bob.hanger</dc:creator>
  <cp:lastModifiedBy>Paul French</cp:lastModifiedBy>
  <cp:revision>2</cp:revision>
  <cp:lastPrinted>2016-11-10T12:23:00Z</cp:lastPrinted>
  <dcterms:created xsi:type="dcterms:W3CDTF">2018-02-02T13:27:00Z</dcterms:created>
  <dcterms:modified xsi:type="dcterms:W3CDTF">2018-02-02T13:27:00Z</dcterms:modified>
</cp:coreProperties>
</file>