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7AE" w:rsidRDefault="005127AE" w:rsidP="005127AE">
      <w:pPr>
        <w:ind w:left="1440" w:hanging="1440"/>
        <w:rPr>
          <w:rFonts w:cs="Arial"/>
          <w:sz w:val="22"/>
          <w:szCs w:val="22"/>
        </w:rPr>
      </w:pPr>
    </w:p>
    <w:p w:rsidR="00186E35" w:rsidRDefault="00425B16" w:rsidP="00186E35">
      <w:pPr>
        <w:ind w:left="1448" w:right="47" w:hanging="1448"/>
        <w:rPr>
          <w:rFonts w:cs="Arial"/>
          <w:bCs/>
          <w:sz w:val="22"/>
          <w:szCs w:val="22"/>
        </w:rPr>
      </w:pPr>
      <w:r>
        <w:rPr>
          <w:rFonts w:cs="Arial"/>
          <w:bCs/>
          <w:sz w:val="22"/>
          <w:szCs w:val="22"/>
        </w:rPr>
        <w:t>8</w:t>
      </w:r>
      <w:r w:rsidR="00186E35">
        <w:rPr>
          <w:rFonts w:cs="Arial"/>
          <w:bCs/>
          <w:sz w:val="22"/>
          <w:szCs w:val="22"/>
        </w:rPr>
        <w:t>.</w:t>
      </w:r>
      <w:r w:rsidR="00186E35">
        <w:rPr>
          <w:rFonts w:cs="Arial"/>
          <w:bCs/>
          <w:sz w:val="22"/>
          <w:szCs w:val="22"/>
        </w:rPr>
        <w:tab/>
      </w:r>
      <w:r w:rsidR="00186E35" w:rsidRPr="00186E35">
        <w:rPr>
          <w:rFonts w:cs="Arial"/>
          <w:b/>
          <w:bCs/>
          <w:sz w:val="22"/>
          <w:szCs w:val="22"/>
        </w:rPr>
        <w:t>BUDGET MONITORING REPORT – APRIL 2017 TO JUNE 2017 (RESOURCES</w:t>
      </w:r>
      <w:r w:rsidR="00186E35">
        <w:rPr>
          <w:rFonts w:cs="Arial"/>
          <w:b/>
          <w:bCs/>
          <w:sz w:val="22"/>
          <w:szCs w:val="22"/>
        </w:rPr>
        <w:t>)</w:t>
      </w:r>
    </w:p>
    <w:p w:rsidR="006E2E99" w:rsidRDefault="006E2E99" w:rsidP="00DE126E">
      <w:pPr>
        <w:ind w:left="1448" w:right="47" w:hanging="728"/>
        <w:rPr>
          <w:rFonts w:cs="Arial"/>
          <w:bCs/>
          <w:sz w:val="22"/>
          <w:szCs w:val="22"/>
        </w:rPr>
      </w:pPr>
    </w:p>
    <w:tbl>
      <w:tblPr>
        <w:tblW w:w="0" w:type="auto"/>
        <w:tblInd w:w="8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19"/>
      </w:tblGrid>
      <w:tr w:rsidR="00223A6F" w:rsidRPr="006C46BE" w:rsidTr="00223A6F">
        <w:tc>
          <w:tcPr>
            <w:tcW w:w="8919" w:type="dxa"/>
            <w:tcBorders>
              <w:top w:val="single" w:sz="12" w:space="0" w:color="auto"/>
              <w:left w:val="single" w:sz="12" w:space="0" w:color="auto"/>
              <w:bottom w:val="single" w:sz="12" w:space="0" w:color="auto"/>
              <w:right w:val="single" w:sz="12" w:space="0" w:color="auto"/>
            </w:tcBorders>
          </w:tcPr>
          <w:p w:rsidR="00223A6F" w:rsidRPr="006C46BE" w:rsidRDefault="00223A6F">
            <w:pPr>
              <w:tabs>
                <w:tab w:val="clear" w:pos="1440"/>
                <w:tab w:val="left" w:pos="1448"/>
              </w:tabs>
              <w:rPr>
                <w:rFonts w:eastAsia="Calibri" w:cs="Arial"/>
                <w:b/>
                <w:sz w:val="22"/>
                <w:szCs w:val="22"/>
              </w:rPr>
            </w:pPr>
            <w:r w:rsidRPr="006C46BE">
              <w:rPr>
                <w:rFonts w:eastAsia="Calibri" w:cs="Arial"/>
                <w:b/>
                <w:sz w:val="22"/>
                <w:szCs w:val="22"/>
              </w:rPr>
              <w:t>Synopsis of report:</w:t>
            </w:r>
          </w:p>
          <w:p w:rsidR="00223A6F" w:rsidRPr="006C46BE" w:rsidRDefault="00223A6F">
            <w:pPr>
              <w:tabs>
                <w:tab w:val="clear" w:pos="1440"/>
                <w:tab w:val="left" w:pos="1448"/>
              </w:tabs>
              <w:rPr>
                <w:rFonts w:eastAsia="Calibri" w:cs="Arial"/>
                <w:b/>
                <w:sz w:val="22"/>
                <w:szCs w:val="22"/>
              </w:rPr>
            </w:pPr>
          </w:p>
          <w:p w:rsidR="00223A6F" w:rsidRPr="006C46BE" w:rsidRDefault="00223A6F">
            <w:pPr>
              <w:rPr>
                <w:rFonts w:eastAsia="Calibri" w:cs="Arial"/>
                <w:b/>
                <w:sz w:val="22"/>
                <w:szCs w:val="22"/>
              </w:rPr>
            </w:pPr>
            <w:r w:rsidRPr="006C46BE">
              <w:rPr>
                <w:rFonts w:cs="Arial"/>
                <w:b/>
                <w:sz w:val="22"/>
                <w:szCs w:val="22"/>
              </w:rPr>
              <w:t>To report the latest financial projections for the 2017/18 financial year for General Fund, Housing Revenue Account and Capital Programme.</w:t>
            </w:r>
            <w:r w:rsidRPr="006C46BE">
              <w:rPr>
                <w:rFonts w:eastAsia="Calibri" w:cs="Arial"/>
                <w:b/>
                <w:sz w:val="22"/>
                <w:szCs w:val="22"/>
              </w:rPr>
              <w:t xml:space="preserve"> </w:t>
            </w:r>
          </w:p>
          <w:p w:rsidR="00223A6F" w:rsidRPr="006C46BE" w:rsidRDefault="00223A6F">
            <w:pPr>
              <w:rPr>
                <w:rFonts w:eastAsia="Calibri" w:cs="Arial"/>
                <w:b/>
                <w:sz w:val="22"/>
                <w:szCs w:val="22"/>
              </w:rPr>
            </w:pPr>
          </w:p>
        </w:tc>
      </w:tr>
    </w:tbl>
    <w:p w:rsidR="00223A6F" w:rsidRPr="006C46BE" w:rsidRDefault="00223A6F" w:rsidP="00223A6F">
      <w:pPr>
        <w:tabs>
          <w:tab w:val="clear" w:pos="1440"/>
          <w:tab w:val="left" w:pos="1448"/>
        </w:tabs>
        <w:ind w:left="1448" w:hanging="1448"/>
        <w:rPr>
          <w:rFonts w:cs="Arial"/>
          <w:b/>
          <w:sz w:val="22"/>
          <w:szCs w:val="22"/>
        </w:rPr>
      </w:pPr>
    </w:p>
    <w:tbl>
      <w:tblPr>
        <w:tblW w:w="0" w:type="auto"/>
        <w:tblInd w:w="8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19"/>
      </w:tblGrid>
      <w:tr w:rsidR="00223A6F" w:rsidRPr="006C46BE" w:rsidTr="00223A6F">
        <w:tc>
          <w:tcPr>
            <w:tcW w:w="8919" w:type="dxa"/>
            <w:tcBorders>
              <w:top w:val="single" w:sz="12" w:space="0" w:color="auto"/>
              <w:left w:val="single" w:sz="12" w:space="0" w:color="auto"/>
              <w:bottom w:val="single" w:sz="12" w:space="0" w:color="auto"/>
              <w:right w:val="single" w:sz="12" w:space="0" w:color="auto"/>
            </w:tcBorders>
          </w:tcPr>
          <w:p w:rsidR="00223A6F" w:rsidRPr="006C46BE" w:rsidRDefault="00223A6F">
            <w:pPr>
              <w:tabs>
                <w:tab w:val="clear" w:pos="1440"/>
                <w:tab w:val="left" w:pos="1448"/>
              </w:tabs>
              <w:rPr>
                <w:rFonts w:eastAsia="Calibri" w:cs="Arial"/>
                <w:b/>
                <w:sz w:val="22"/>
                <w:szCs w:val="22"/>
              </w:rPr>
            </w:pPr>
            <w:r w:rsidRPr="006C46BE">
              <w:rPr>
                <w:rFonts w:eastAsia="Calibri" w:cs="Arial"/>
                <w:b/>
                <w:sz w:val="22"/>
                <w:szCs w:val="22"/>
              </w:rPr>
              <w:t>Recommendation:</w:t>
            </w:r>
          </w:p>
          <w:p w:rsidR="00223A6F" w:rsidRPr="006C46BE" w:rsidRDefault="00223A6F">
            <w:pPr>
              <w:tabs>
                <w:tab w:val="left" w:pos="0"/>
              </w:tabs>
              <w:ind w:left="23" w:hanging="23"/>
              <w:rPr>
                <w:rFonts w:eastAsia="Calibri" w:cs="Arial"/>
                <w:b/>
                <w:sz w:val="22"/>
                <w:szCs w:val="22"/>
              </w:rPr>
            </w:pPr>
          </w:p>
          <w:p w:rsidR="00223A6F" w:rsidRPr="006C46BE" w:rsidRDefault="00223A6F">
            <w:pPr>
              <w:tabs>
                <w:tab w:val="left" w:pos="0"/>
              </w:tabs>
              <w:rPr>
                <w:rFonts w:eastAsia="Calibri" w:cs="Arial"/>
                <w:b/>
                <w:sz w:val="22"/>
                <w:szCs w:val="22"/>
              </w:rPr>
            </w:pPr>
            <w:r w:rsidRPr="006C46BE">
              <w:rPr>
                <w:rFonts w:eastAsia="Calibri" w:cs="Arial"/>
                <w:b/>
                <w:sz w:val="22"/>
                <w:szCs w:val="22"/>
              </w:rPr>
              <w:t>For information</w:t>
            </w:r>
          </w:p>
          <w:p w:rsidR="00223A6F" w:rsidRPr="006C46BE" w:rsidRDefault="00223A6F">
            <w:pPr>
              <w:tabs>
                <w:tab w:val="left" w:pos="0"/>
              </w:tabs>
              <w:ind w:left="23" w:hanging="23"/>
              <w:rPr>
                <w:rFonts w:eastAsia="Calibri" w:cs="Arial"/>
                <w:b/>
                <w:sz w:val="22"/>
                <w:szCs w:val="22"/>
              </w:rPr>
            </w:pPr>
          </w:p>
        </w:tc>
      </w:tr>
    </w:tbl>
    <w:p w:rsidR="003E380C" w:rsidRDefault="003E380C" w:rsidP="00223A6F">
      <w:pPr>
        <w:ind w:left="720" w:hanging="720"/>
        <w:rPr>
          <w:rFonts w:cs="Arial"/>
          <w:sz w:val="22"/>
          <w:szCs w:val="22"/>
        </w:rPr>
      </w:pPr>
    </w:p>
    <w:p w:rsidR="00223A6F" w:rsidRPr="00394F48" w:rsidRDefault="00223A6F" w:rsidP="00223A6F">
      <w:pPr>
        <w:ind w:left="720" w:hanging="720"/>
        <w:rPr>
          <w:rFonts w:cs="Arial"/>
          <w:b/>
          <w:sz w:val="22"/>
          <w:szCs w:val="22"/>
        </w:rPr>
      </w:pPr>
      <w:r w:rsidRPr="006C46BE">
        <w:rPr>
          <w:rFonts w:cs="Arial"/>
          <w:sz w:val="22"/>
          <w:szCs w:val="22"/>
        </w:rPr>
        <w:t>1</w:t>
      </w:r>
      <w:r w:rsidRPr="006C46BE">
        <w:rPr>
          <w:rFonts w:cs="Arial"/>
          <w:sz w:val="22"/>
          <w:szCs w:val="22"/>
        </w:rPr>
        <w:tab/>
      </w:r>
      <w:r w:rsidRPr="00394F48">
        <w:rPr>
          <w:rFonts w:cs="Arial"/>
          <w:b/>
          <w:sz w:val="22"/>
          <w:szCs w:val="22"/>
        </w:rPr>
        <w:t>Context of report</w:t>
      </w:r>
    </w:p>
    <w:p w:rsidR="00223A6F" w:rsidRPr="006C46BE" w:rsidRDefault="00223A6F" w:rsidP="00223A6F">
      <w:pPr>
        <w:ind w:left="720" w:hanging="720"/>
        <w:rPr>
          <w:rFonts w:cs="Arial"/>
          <w:sz w:val="22"/>
          <w:szCs w:val="22"/>
        </w:rPr>
      </w:pPr>
      <w:r w:rsidRPr="006C46BE">
        <w:rPr>
          <w:rFonts w:cs="Arial"/>
          <w:sz w:val="22"/>
          <w:szCs w:val="22"/>
        </w:rPr>
        <w:t>1.1</w:t>
      </w:r>
      <w:r w:rsidRPr="006C46BE">
        <w:rPr>
          <w:rFonts w:cs="Arial"/>
          <w:sz w:val="22"/>
          <w:szCs w:val="22"/>
        </w:rPr>
        <w:tab/>
        <w:t xml:space="preserve">The Medium Term Financial Strategy (MTFS), the Capital Programme and the detailed General Fund budgets for 2017/18 were approved by the Corporate Management Committee on 27 January 2017 and subsequently by Full Council on 9 February 2017.  </w:t>
      </w:r>
    </w:p>
    <w:p w:rsidR="00223A6F" w:rsidRPr="006C46BE" w:rsidRDefault="00223A6F" w:rsidP="00223A6F">
      <w:pPr>
        <w:ind w:left="720" w:hanging="720"/>
        <w:rPr>
          <w:rFonts w:cs="Arial"/>
          <w:sz w:val="22"/>
          <w:szCs w:val="22"/>
        </w:rPr>
      </w:pPr>
    </w:p>
    <w:p w:rsidR="00223A6F" w:rsidRPr="006C46BE" w:rsidRDefault="00223A6F" w:rsidP="00223A6F">
      <w:pPr>
        <w:ind w:left="720" w:hanging="720"/>
        <w:rPr>
          <w:rFonts w:cs="Arial"/>
          <w:sz w:val="22"/>
          <w:szCs w:val="22"/>
        </w:rPr>
      </w:pPr>
      <w:r w:rsidRPr="006C46BE">
        <w:rPr>
          <w:rFonts w:cs="Arial"/>
          <w:sz w:val="22"/>
          <w:szCs w:val="22"/>
        </w:rPr>
        <w:t>1.2</w:t>
      </w:r>
      <w:r w:rsidRPr="006C46BE">
        <w:rPr>
          <w:rFonts w:cs="Arial"/>
          <w:sz w:val="22"/>
          <w:szCs w:val="22"/>
        </w:rPr>
        <w:tab/>
        <w:t>The detailed HRA budget for 2017/18 was approved by the Housing Committee on 11 January 2017 and subsequently by Full Council in February 2017.</w:t>
      </w:r>
    </w:p>
    <w:p w:rsidR="00223A6F" w:rsidRPr="006C46BE" w:rsidRDefault="00223A6F" w:rsidP="00223A6F">
      <w:pPr>
        <w:ind w:left="720" w:hanging="720"/>
        <w:rPr>
          <w:rFonts w:cs="Arial"/>
          <w:sz w:val="22"/>
          <w:szCs w:val="22"/>
          <w:highlight w:val="yellow"/>
        </w:rPr>
      </w:pPr>
    </w:p>
    <w:p w:rsidR="00223A6F" w:rsidRPr="006C46BE" w:rsidRDefault="00223A6F" w:rsidP="00223A6F">
      <w:pPr>
        <w:ind w:left="720" w:hanging="720"/>
        <w:rPr>
          <w:rFonts w:cs="Arial"/>
          <w:sz w:val="22"/>
          <w:szCs w:val="22"/>
        </w:rPr>
      </w:pPr>
      <w:r w:rsidRPr="006C46BE">
        <w:rPr>
          <w:rFonts w:cs="Arial"/>
          <w:sz w:val="22"/>
          <w:szCs w:val="22"/>
        </w:rPr>
        <w:t>1.3</w:t>
      </w:r>
      <w:r w:rsidRPr="006C46BE">
        <w:rPr>
          <w:rFonts w:cs="Arial"/>
          <w:sz w:val="22"/>
          <w:szCs w:val="22"/>
        </w:rPr>
        <w:tab/>
        <w:t xml:space="preserve">Starting in July, all budget managers are provided with a monthly budgetary control statement showing total budget, profiled budget and spend to date (including commitments). A full salary listing is also provided on an ad-hoc basis to chief officers.  Budget managers are expected to work with the accountancy team to report any variations and project likely spend to 31 March.  </w:t>
      </w:r>
    </w:p>
    <w:p w:rsidR="00223A6F" w:rsidRPr="006C46BE" w:rsidRDefault="00223A6F" w:rsidP="00223A6F">
      <w:pPr>
        <w:ind w:left="720" w:hanging="720"/>
        <w:rPr>
          <w:rFonts w:cs="Arial"/>
          <w:sz w:val="22"/>
          <w:szCs w:val="22"/>
        </w:rPr>
      </w:pPr>
      <w:r w:rsidRPr="006C46BE">
        <w:rPr>
          <w:rFonts w:cs="Arial"/>
          <w:sz w:val="22"/>
          <w:szCs w:val="22"/>
        </w:rPr>
        <w:tab/>
      </w:r>
    </w:p>
    <w:p w:rsidR="00223A6F" w:rsidRPr="006C46BE" w:rsidRDefault="00223A6F" w:rsidP="00223A6F">
      <w:pPr>
        <w:ind w:left="720" w:hanging="720"/>
        <w:rPr>
          <w:rFonts w:cs="Arial"/>
          <w:sz w:val="22"/>
          <w:szCs w:val="22"/>
        </w:rPr>
      </w:pPr>
      <w:r w:rsidRPr="006C46BE">
        <w:rPr>
          <w:rFonts w:cs="Arial"/>
          <w:sz w:val="22"/>
          <w:szCs w:val="22"/>
        </w:rPr>
        <w:t>1.4</w:t>
      </w:r>
      <w:r w:rsidRPr="006C46BE">
        <w:rPr>
          <w:rFonts w:cs="Arial"/>
          <w:sz w:val="22"/>
          <w:szCs w:val="22"/>
        </w:rPr>
        <w:tab/>
        <w:t>Budget managers should constantly monitor their budgets and are accountable for their budget and service performance. The projected outturns shown in this report are manager’s best estimates as at 30 June 2017.</w:t>
      </w:r>
    </w:p>
    <w:p w:rsidR="00223A6F" w:rsidRPr="006C46BE" w:rsidRDefault="00223A6F" w:rsidP="00223A6F">
      <w:pPr>
        <w:ind w:left="720" w:hanging="720"/>
        <w:rPr>
          <w:rFonts w:cs="Arial"/>
          <w:b/>
          <w:sz w:val="22"/>
          <w:szCs w:val="22"/>
          <w:highlight w:val="yellow"/>
          <w:u w:val="single"/>
        </w:rPr>
      </w:pPr>
    </w:p>
    <w:p w:rsidR="00223A6F" w:rsidRPr="006C46BE" w:rsidRDefault="00223A6F" w:rsidP="00223A6F">
      <w:pPr>
        <w:ind w:left="720" w:hanging="720"/>
        <w:rPr>
          <w:rFonts w:cs="Arial"/>
          <w:b/>
          <w:sz w:val="22"/>
          <w:szCs w:val="22"/>
          <w:u w:val="single"/>
        </w:rPr>
      </w:pPr>
      <w:r w:rsidRPr="006C46BE">
        <w:rPr>
          <w:rFonts w:cs="Arial"/>
          <w:b/>
          <w:sz w:val="22"/>
          <w:szCs w:val="22"/>
        </w:rPr>
        <w:t>2</w:t>
      </w:r>
      <w:r w:rsidRPr="006C46BE">
        <w:rPr>
          <w:rFonts w:cs="Arial"/>
          <w:b/>
          <w:sz w:val="22"/>
          <w:szCs w:val="22"/>
        </w:rPr>
        <w:tab/>
      </w:r>
      <w:r w:rsidRPr="006C46BE">
        <w:rPr>
          <w:rFonts w:cs="Arial"/>
          <w:b/>
          <w:sz w:val="22"/>
          <w:szCs w:val="22"/>
          <w:u w:val="single"/>
        </w:rPr>
        <w:t>General Fund Revenue Budget</w:t>
      </w:r>
    </w:p>
    <w:p w:rsidR="00223A6F" w:rsidRPr="006C46BE" w:rsidRDefault="00223A6F" w:rsidP="00223A6F">
      <w:pPr>
        <w:ind w:left="720" w:hanging="720"/>
        <w:rPr>
          <w:rFonts w:cs="Arial"/>
          <w:sz w:val="22"/>
          <w:szCs w:val="22"/>
        </w:rPr>
      </w:pPr>
    </w:p>
    <w:p w:rsidR="00223A6F" w:rsidRPr="006C46BE" w:rsidRDefault="00223A6F" w:rsidP="00223A6F">
      <w:pPr>
        <w:ind w:left="720" w:hanging="720"/>
        <w:rPr>
          <w:rFonts w:cs="Arial"/>
          <w:sz w:val="22"/>
          <w:szCs w:val="22"/>
        </w:rPr>
      </w:pPr>
      <w:r w:rsidRPr="006C46BE">
        <w:rPr>
          <w:rFonts w:cs="Arial"/>
          <w:sz w:val="22"/>
          <w:szCs w:val="22"/>
        </w:rPr>
        <w:t>2.1</w:t>
      </w:r>
      <w:r w:rsidRPr="006C46BE">
        <w:rPr>
          <w:rFonts w:cs="Arial"/>
          <w:sz w:val="22"/>
          <w:szCs w:val="22"/>
        </w:rPr>
        <w:tab/>
        <w:t>The detailed General Fund budget for 2017/18 was approved in February 2017 along with the MTFS.  Since then various changes have occurred and a summary of the current projected use of balances for the General Fund can be seen in table 1 below:</w:t>
      </w:r>
    </w:p>
    <w:p w:rsidR="00223A6F" w:rsidRPr="006C46BE" w:rsidRDefault="00223A6F" w:rsidP="00223A6F">
      <w:pPr>
        <w:ind w:left="720" w:hanging="720"/>
        <w:rPr>
          <w:rFonts w:cs="Arial"/>
          <w:sz w:val="22"/>
          <w:szCs w:val="22"/>
        </w:rPr>
      </w:pPr>
    </w:p>
    <w:tbl>
      <w:tblPr>
        <w:tblW w:w="9027"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17"/>
        <w:gridCol w:w="1200"/>
        <w:gridCol w:w="1134"/>
        <w:gridCol w:w="2184"/>
      </w:tblGrid>
      <w:tr w:rsidR="00223A6F" w:rsidRPr="006C46BE" w:rsidTr="00223A6F">
        <w:trPr>
          <w:trHeight w:val="255"/>
        </w:trPr>
        <w:tc>
          <w:tcPr>
            <w:tcW w:w="9027" w:type="dxa"/>
            <w:gridSpan w:val="4"/>
            <w:tcBorders>
              <w:top w:val="dotted" w:sz="4" w:space="0" w:color="auto"/>
              <w:left w:val="dotted" w:sz="4" w:space="0" w:color="auto"/>
              <w:bottom w:val="dotted" w:sz="4" w:space="0" w:color="auto"/>
              <w:right w:val="dotted" w:sz="4" w:space="0" w:color="auto"/>
            </w:tcBorders>
            <w:shd w:val="clear" w:color="auto" w:fill="BFBFBF" w:themeFill="background1" w:themeFillShade="BF"/>
            <w:noWrap/>
            <w:vAlign w:val="bottom"/>
            <w:hideMark/>
          </w:tcPr>
          <w:p w:rsidR="00223A6F" w:rsidRPr="006C46BE" w:rsidRDefault="00223A6F">
            <w:pPr>
              <w:ind w:left="27" w:hanging="27"/>
              <w:jc w:val="center"/>
              <w:rPr>
                <w:rFonts w:cs="Arial"/>
                <w:b/>
                <w:sz w:val="22"/>
                <w:szCs w:val="22"/>
                <w:lang w:eastAsia="en-GB"/>
              </w:rPr>
            </w:pPr>
            <w:r w:rsidRPr="006C46BE">
              <w:rPr>
                <w:rFonts w:cs="Arial"/>
                <w:b/>
                <w:sz w:val="22"/>
                <w:szCs w:val="22"/>
                <w:lang w:eastAsia="en-GB"/>
              </w:rPr>
              <w:t>Table 1 – Projected use of General Fund balances</w:t>
            </w:r>
          </w:p>
        </w:tc>
      </w:tr>
      <w:tr w:rsidR="00223A6F" w:rsidRPr="006C46BE" w:rsidTr="00223A6F">
        <w:trPr>
          <w:trHeight w:val="255"/>
        </w:trPr>
        <w:tc>
          <w:tcPr>
            <w:tcW w:w="4517"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tabs>
                <w:tab w:val="left" w:pos="522"/>
              </w:tabs>
              <w:jc w:val="both"/>
              <w:rPr>
                <w:rStyle w:val="endsenrhsennumparatext"/>
                <w:rFonts w:cs="Arial"/>
                <w:b/>
                <w:sz w:val="22"/>
                <w:szCs w:val="22"/>
                <w:lang w:val="en"/>
              </w:rPr>
            </w:pPr>
          </w:p>
        </w:tc>
        <w:tc>
          <w:tcPr>
            <w:tcW w:w="1200"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b/>
                <w:sz w:val="22"/>
                <w:szCs w:val="22"/>
                <w:lang w:eastAsia="en-GB"/>
              </w:rPr>
            </w:pPr>
            <w:r w:rsidRPr="006C46BE">
              <w:rPr>
                <w:rFonts w:cs="Arial"/>
                <w:b/>
                <w:sz w:val="22"/>
                <w:szCs w:val="22"/>
                <w:lang w:eastAsia="en-GB"/>
              </w:rPr>
              <w:t>Original</w:t>
            </w:r>
          </w:p>
          <w:p w:rsidR="00223A6F" w:rsidRPr="006C46BE" w:rsidRDefault="00223A6F">
            <w:pPr>
              <w:ind w:left="720" w:hanging="720"/>
              <w:jc w:val="right"/>
              <w:rPr>
                <w:rFonts w:cs="Arial"/>
                <w:b/>
                <w:sz w:val="22"/>
                <w:szCs w:val="22"/>
                <w:lang w:eastAsia="en-GB"/>
              </w:rPr>
            </w:pPr>
            <w:r w:rsidRPr="006C46BE">
              <w:rPr>
                <w:rFonts w:cs="Arial"/>
                <w:b/>
                <w:sz w:val="22"/>
                <w:szCs w:val="22"/>
                <w:lang w:eastAsia="en-GB"/>
              </w:rPr>
              <w:t>Budget</w:t>
            </w:r>
          </w:p>
          <w:p w:rsidR="00223A6F" w:rsidRPr="006C46BE" w:rsidRDefault="00223A6F">
            <w:pPr>
              <w:ind w:left="720" w:hanging="720"/>
              <w:jc w:val="right"/>
              <w:rPr>
                <w:rFonts w:cs="Arial"/>
                <w:b/>
                <w:sz w:val="22"/>
                <w:szCs w:val="22"/>
                <w:lang w:eastAsia="en-GB"/>
              </w:rPr>
            </w:pPr>
            <w:r w:rsidRPr="006C46BE">
              <w:rPr>
                <w:rFonts w:cs="Arial"/>
                <w:b/>
                <w:sz w:val="22"/>
                <w:szCs w:val="22"/>
                <w:lang w:eastAsia="en-GB"/>
              </w:rPr>
              <w:t>£’000</w:t>
            </w:r>
          </w:p>
        </w:tc>
        <w:tc>
          <w:tcPr>
            <w:tcW w:w="1126" w:type="dxa"/>
            <w:tcBorders>
              <w:top w:val="dotted" w:sz="4" w:space="0" w:color="auto"/>
              <w:left w:val="dotted" w:sz="4" w:space="0" w:color="auto"/>
              <w:bottom w:val="dotted" w:sz="4" w:space="0" w:color="auto"/>
              <w:right w:val="dotted" w:sz="4" w:space="0" w:color="auto"/>
            </w:tcBorders>
            <w:hideMark/>
          </w:tcPr>
          <w:p w:rsidR="00223A6F" w:rsidRPr="006C46BE" w:rsidRDefault="00223A6F">
            <w:pPr>
              <w:ind w:left="27" w:hanging="27"/>
              <w:jc w:val="right"/>
              <w:rPr>
                <w:rFonts w:cs="Arial"/>
                <w:b/>
                <w:sz w:val="22"/>
                <w:szCs w:val="22"/>
                <w:lang w:eastAsia="en-GB"/>
              </w:rPr>
            </w:pPr>
            <w:r w:rsidRPr="006C46BE">
              <w:rPr>
                <w:rFonts w:cs="Arial"/>
                <w:b/>
                <w:sz w:val="22"/>
                <w:szCs w:val="22"/>
                <w:lang w:eastAsia="en-GB"/>
              </w:rPr>
              <w:t>Forecast Outturn</w:t>
            </w:r>
          </w:p>
          <w:p w:rsidR="00223A6F" w:rsidRPr="006C46BE" w:rsidRDefault="00223A6F">
            <w:pPr>
              <w:ind w:left="27" w:hanging="27"/>
              <w:jc w:val="right"/>
              <w:rPr>
                <w:rFonts w:cs="Arial"/>
                <w:b/>
                <w:sz w:val="22"/>
                <w:szCs w:val="22"/>
                <w:lang w:eastAsia="en-GB"/>
              </w:rPr>
            </w:pPr>
            <w:r w:rsidRPr="006C46BE">
              <w:rPr>
                <w:rFonts w:cs="Arial"/>
                <w:b/>
                <w:sz w:val="22"/>
                <w:szCs w:val="22"/>
                <w:lang w:eastAsia="en-GB"/>
              </w:rPr>
              <w:t>£’000</w:t>
            </w:r>
          </w:p>
        </w:tc>
        <w:tc>
          <w:tcPr>
            <w:tcW w:w="2184"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ind w:left="27" w:hanging="27"/>
              <w:jc w:val="right"/>
              <w:rPr>
                <w:rFonts w:cs="Arial"/>
                <w:b/>
                <w:sz w:val="22"/>
                <w:szCs w:val="22"/>
                <w:lang w:eastAsia="en-GB"/>
              </w:rPr>
            </w:pPr>
          </w:p>
        </w:tc>
      </w:tr>
      <w:tr w:rsidR="00223A6F" w:rsidRPr="006C46BE" w:rsidTr="00223A6F">
        <w:trPr>
          <w:trHeight w:val="255"/>
        </w:trPr>
        <w:tc>
          <w:tcPr>
            <w:tcW w:w="4517"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rPr>
                <w:rFonts w:cs="Arial"/>
                <w:sz w:val="22"/>
                <w:szCs w:val="22"/>
              </w:rPr>
            </w:pPr>
            <w:r w:rsidRPr="006C46BE">
              <w:rPr>
                <w:rFonts w:cs="Arial"/>
                <w:sz w:val="22"/>
                <w:szCs w:val="22"/>
              </w:rPr>
              <w:t>Net Expenditure on Services</w:t>
            </w:r>
          </w:p>
        </w:tc>
        <w:tc>
          <w:tcPr>
            <w:tcW w:w="1200"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3,153</w:t>
            </w:r>
          </w:p>
        </w:tc>
        <w:tc>
          <w:tcPr>
            <w:tcW w:w="1126" w:type="dxa"/>
            <w:tcBorders>
              <w:top w:val="dotted" w:sz="4" w:space="0" w:color="auto"/>
              <w:left w:val="dotted" w:sz="4" w:space="0" w:color="auto"/>
              <w:bottom w:val="dotted" w:sz="4" w:space="0" w:color="auto"/>
              <w:right w:val="dotted" w:sz="4" w:space="0" w:color="auto"/>
            </w:tcBorders>
            <w:hideMark/>
          </w:tcPr>
          <w:p w:rsidR="00223A6F" w:rsidRPr="006C46BE" w:rsidRDefault="00223A6F">
            <w:pPr>
              <w:ind w:left="27" w:hanging="27"/>
              <w:jc w:val="right"/>
              <w:rPr>
                <w:rFonts w:cs="Arial"/>
                <w:sz w:val="22"/>
                <w:szCs w:val="22"/>
              </w:rPr>
            </w:pPr>
            <w:r w:rsidRPr="006C46BE">
              <w:rPr>
                <w:rFonts w:cs="Arial"/>
                <w:sz w:val="22"/>
                <w:szCs w:val="22"/>
              </w:rPr>
              <w:t>4,946</w:t>
            </w:r>
          </w:p>
        </w:tc>
        <w:tc>
          <w:tcPr>
            <w:tcW w:w="2184"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27" w:hanging="27"/>
              <w:rPr>
                <w:rFonts w:cs="Arial"/>
                <w:sz w:val="22"/>
                <w:szCs w:val="22"/>
                <w:highlight w:val="yellow"/>
              </w:rPr>
            </w:pPr>
            <w:r w:rsidRPr="006C46BE">
              <w:rPr>
                <w:rFonts w:cs="Arial"/>
                <w:sz w:val="22"/>
                <w:szCs w:val="22"/>
              </w:rPr>
              <w:t>Paragraph 2.3 below</w:t>
            </w:r>
          </w:p>
        </w:tc>
      </w:tr>
      <w:tr w:rsidR="00223A6F" w:rsidRPr="006C46BE" w:rsidTr="00223A6F">
        <w:trPr>
          <w:trHeight w:val="255"/>
        </w:trPr>
        <w:tc>
          <w:tcPr>
            <w:tcW w:w="4517"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rPr>
                <w:rFonts w:cs="Arial"/>
                <w:sz w:val="22"/>
                <w:szCs w:val="22"/>
              </w:rPr>
            </w:pPr>
            <w:r w:rsidRPr="006C46BE">
              <w:rPr>
                <w:rFonts w:cs="Arial"/>
                <w:sz w:val="22"/>
                <w:szCs w:val="22"/>
              </w:rPr>
              <w:t>Transfers and accounting adjustments</w:t>
            </w:r>
          </w:p>
        </w:tc>
        <w:tc>
          <w:tcPr>
            <w:tcW w:w="1200"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jc w:val="right"/>
              <w:rPr>
                <w:rFonts w:cs="Arial"/>
                <w:sz w:val="22"/>
                <w:szCs w:val="22"/>
                <w:lang w:eastAsia="en-GB"/>
              </w:rPr>
            </w:pPr>
            <w:r w:rsidRPr="006C46BE">
              <w:rPr>
                <w:rFonts w:cs="Arial"/>
                <w:sz w:val="22"/>
                <w:szCs w:val="22"/>
                <w:lang w:eastAsia="en-GB"/>
              </w:rPr>
              <w:t>(1,871)</w:t>
            </w:r>
          </w:p>
        </w:tc>
        <w:tc>
          <w:tcPr>
            <w:tcW w:w="1126" w:type="dxa"/>
            <w:tcBorders>
              <w:top w:val="dotted" w:sz="4" w:space="0" w:color="auto"/>
              <w:left w:val="dotted" w:sz="4" w:space="0" w:color="auto"/>
              <w:bottom w:val="dotted" w:sz="4" w:space="0" w:color="auto"/>
              <w:right w:val="dotted" w:sz="4" w:space="0" w:color="auto"/>
            </w:tcBorders>
            <w:hideMark/>
          </w:tcPr>
          <w:p w:rsidR="00223A6F" w:rsidRPr="006C46BE" w:rsidRDefault="00223A6F">
            <w:pPr>
              <w:ind w:left="27" w:hanging="27"/>
              <w:jc w:val="right"/>
              <w:rPr>
                <w:rFonts w:cs="Arial"/>
                <w:sz w:val="22"/>
                <w:szCs w:val="22"/>
              </w:rPr>
            </w:pPr>
            <w:r w:rsidRPr="006C46BE">
              <w:rPr>
                <w:rFonts w:cs="Arial"/>
                <w:sz w:val="22"/>
                <w:szCs w:val="22"/>
              </w:rPr>
              <w:t>(1,871)</w:t>
            </w:r>
          </w:p>
        </w:tc>
        <w:tc>
          <w:tcPr>
            <w:tcW w:w="2184" w:type="dxa"/>
            <w:tcBorders>
              <w:top w:val="dotted" w:sz="4" w:space="0" w:color="auto"/>
              <w:left w:val="dotted" w:sz="4" w:space="0" w:color="auto"/>
              <w:bottom w:val="dotted" w:sz="4" w:space="0" w:color="auto"/>
              <w:right w:val="dotted" w:sz="4" w:space="0" w:color="auto"/>
            </w:tcBorders>
            <w:noWrap/>
          </w:tcPr>
          <w:p w:rsidR="00223A6F" w:rsidRPr="006C46BE" w:rsidRDefault="00223A6F">
            <w:pPr>
              <w:rPr>
                <w:rFonts w:cs="Arial"/>
                <w:sz w:val="22"/>
                <w:szCs w:val="22"/>
              </w:rPr>
            </w:pPr>
          </w:p>
        </w:tc>
      </w:tr>
      <w:tr w:rsidR="00223A6F" w:rsidRPr="006C46BE" w:rsidTr="00223A6F">
        <w:trPr>
          <w:trHeight w:val="255"/>
        </w:trPr>
        <w:tc>
          <w:tcPr>
            <w:tcW w:w="4517"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rPr>
                <w:rFonts w:cs="Arial"/>
                <w:sz w:val="22"/>
                <w:szCs w:val="22"/>
              </w:rPr>
            </w:pPr>
            <w:r w:rsidRPr="006C46BE">
              <w:rPr>
                <w:rFonts w:cs="Arial"/>
                <w:sz w:val="22"/>
                <w:szCs w:val="22"/>
              </w:rPr>
              <w:t>Treasury and financing</w:t>
            </w:r>
          </w:p>
        </w:tc>
        <w:tc>
          <w:tcPr>
            <w:tcW w:w="1200"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jc w:val="right"/>
              <w:rPr>
                <w:rFonts w:cs="Arial"/>
                <w:sz w:val="22"/>
                <w:szCs w:val="22"/>
                <w:lang w:eastAsia="en-GB"/>
              </w:rPr>
            </w:pPr>
            <w:r w:rsidRPr="006C46BE">
              <w:rPr>
                <w:rFonts w:cs="Arial"/>
                <w:sz w:val="22"/>
                <w:szCs w:val="22"/>
                <w:lang w:eastAsia="en-GB"/>
              </w:rPr>
              <w:t>8,020</w:t>
            </w:r>
          </w:p>
        </w:tc>
        <w:tc>
          <w:tcPr>
            <w:tcW w:w="1126" w:type="dxa"/>
            <w:tcBorders>
              <w:top w:val="dotted" w:sz="4" w:space="0" w:color="auto"/>
              <w:left w:val="dotted" w:sz="4" w:space="0" w:color="auto"/>
              <w:bottom w:val="dotted" w:sz="4" w:space="0" w:color="auto"/>
              <w:right w:val="dotted" w:sz="4" w:space="0" w:color="auto"/>
            </w:tcBorders>
            <w:hideMark/>
          </w:tcPr>
          <w:p w:rsidR="00223A6F" w:rsidRPr="006C46BE" w:rsidRDefault="00223A6F">
            <w:pPr>
              <w:ind w:left="27" w:hanging="27"/>
              <w:jc w:val="right"/>
              <w:rPr>
                <w:rFonts w:cs="Arial"/>
                <w:sz w:val="22"/>
                <w:szCs w:val="22"/>
              </w:rPr>
            </w:pPr>
            <w:r w:rsidRPr="006C46BE">
              <w:rPr>
                <w:rFonts w:cs="Arial"/>
                <w:sz w:val="22"/>
                <w:szCs w:val="22"/>
              </w:rPr>
              <w:t>7,989</w:t>
            </w:r>
          </w:p>
        </w:tc>
        <w:tc>
          <w:tcPr>
            <w:tcW w:w="2184" w:type="dxa"/>
            <w:tcBorders>
              <w:top w:val="dotted" w:sz="4" w:space="0" w:color="auto"/>
              <w:left w:val="dotted" w:sz="4" w:space="0" w:color="auto"/>
              <w:bottom w:val="dotted" w:sz="4" w:space="0" w:color="auto"/>
              <w:right w:val="dotted" w:sz="4" w:space="0" w:color="auto"/>
            </w:tcBorders>
            <w:noWrap/>
            <w:hideMark/>
          </w:tcPr>
          <w:p w:rsidR="00223A6F" w:rsidRPr="006C46BE" w:rsidRDefault="00394F48">
            <w:pPr>
              <w:rPr>
                <w:rFonts w:cs="Arial"/>
                <w:sz w:val="22"/>
                <w:szCs w:val="22"/>
              </w:rPr>
            </w:pPr>
            <w:r>
              <w:rPr>
                <w:rFonts w:cs="Arial"/>
                <w:sz w:val="22"/>
                <w:szCs w:val="22"/>
              </w:rPr>
              <w:t>Paragraph 2.</w:t>
            </w:r>
            <w:r w:rsidR="00223A6F" w:rsidRPr="006C46BE">
              <w:rPr>
                <w:rFonts w:cs="Arial"/>
                <w:sz w:val="22"/>
                <w:szCs w:val="22"/>
              </w:rPr>
              <w:t>9 below</w:t>
            </w:r>
          </w:p>
        </w:tc>
      </w:tr>
      <w:tr w:rsidR="00223A6F" w:rsidRPr="006C46BE" w:rsidTr="00223A6F">
        <w:trPr>
          <w:trHeight w:val="255"/>
        </w:trPr>
        <w:tc>
          <w:tcPr>
            <w:tcW w:w="4517"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rPr>
                <w:rFonts w:cs="Arial"/>
                <w:sz w:val="22"/>
                <w:szCs w:val="22"/>
              </w:rPr>
            </w:pPr>
            <w:r w:rsidRPr="006C46BE">
              <w:rPr>
                <w:rFonts w:cs="Arial"/>
                <w:sz w:val="22"/>
                <w:szCs w:val="22"/>
              </w:rPr>
              <w:t>Government grants</w:t>
            </w:r>
          </w:p>
        </w:tc>
        <w:tc>
          <w:tcPr>
            <w:tcW w:w="1200"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jc w:val="right"/>
              <w:rPr>
                <w:rFonts w:cs="Arial"/>
                <w:sz w:val="22"/>
                <w:szCs w:val="22"/>
                <w:lang w:eastAsia="en-GB"/>
              </w:rPr>
            </w:pPr>
            <w:r w:rsidRPr="006C46BE">
              <w:rPr>
                <w:rFonts w:cs="Arial"/>
                <w:sz w:val="22"/>
                <w:szCs w:val="22"/>
                <w:lang w:eastAsia="en-GB"/>
              </w:rPr>
              <w:t>(1,601)</w:t>
            </w:r>
          </w:p>
        </w:tc>
        <w:tc>
          <w:tcPr>
            <w:tcW w:w="1126" w:type="dxa"/>
            <w:tcBorders>
              <w:top w:val="dotted" w:sz="4" w:space="0" w:color="auto"/>
              <w:left w:val="dotted" w:sz="4" w:space="0" w:color="auto"/>
              <w:bottom w:val="dotted" w:sz="4" w:space="0" w:color="auto"/>
              <w:right w:val="dotted" w:sz="4" w:space="0" w:color="auto"/>
            </w:tcBorders>
            <w:hideMark/>
          </w:tcPr>
          <w:p w:rsidR="00223A6F" w:rsidRPr="006C46BE" w:rsidRDefault="00223A6F">
            <w:pPr>
              <w:ind w:left="27" w:hanging="27"/>
              <w:jc w:val="right"/>
              <w:rPr>
                <w:rFonts w:cs="Arial"/>
                <w:sz w:val="22"/>
                <w:szCs w:val="22"/>
              </w:rPr>
            </w:pPr>
            <w:r w:rsidRPr="006C46BE">
              <w:rPr>
                <w:rFonts w:cs="Arial"/>
                <w:sz w:val="22"/>
                <w:szCs w:val="22"/>
              </w:rPr>
              <w:t>(1,605)</w:t>
            </w:r>
          </w:p>
        </w:tc>
        <w:tc>
          <w:tcPr>
            <w:tcW w:w="2184" w:type="dxa"/>
            <w:tcBorders>
              <w:top w:val="dotted" w:sz="4" w:space="0" w:color="auto"/>
              <w:left w:val="dotted" w:sz="4" w:space="0" w:color="auto"/>
              <w:bottom w:val="dotted" w:sz="4" w:space="0" w:color="auto"/>
              <w:right w:val="dotted" w:sz="4" w:space="0" w:color="auto"/>
            </w:tcBorders>
            <w:noWrap/>
            <w:hideMark/>
          </w:tcPr>
          <w:p w:rsidR="00223A6F" w:rsidRPr="006C46BE" w:rsidRDefault="00223A6F">
            <w:pPr>
              <w:rPr>
                <w:rFonts w:cs="Arial"/>
                <w:sz w:val="22"/>
                <w:szCs w:val="22"/>
              </w:rPr>
            </w:pPr>
            <w:r w:rsidRPr="006C46BE">
              <w:rPr>
                <w:rFonts w:cs="Arial"/>
                <w:sz w:val="22"/>
                <w:szCs w:val="22"/>
              </w:rPr>
              <w:t>Paragraph 2.13 below</w:t>
            </w:r>
          </w:p>
        </w:tc>
      </w:tr>
      <w:tr w:rsidR="00223A6F" w:rsidRPr="006C46BE" w:rsidTr="00223A6F">
        <w:trPr>
          <w:trHeight w:val="255"/>
        </w:trPr>
        <w:tc>
          <w:tcPr>
            <w:tcW w:w="4517"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rPr>
                <w:rFonts w:cs="Arial"/>
                <w:sz w:val="22"/>
                <w:szCs w:val="22"/>
              </w:rPr>
            </w:pPr>
            <w:r w:rsidRPr="006C46BE">
              <w:rPr>
                <w:rFonts w:cs="Arial"/>
                <w:sz w:val="22"/>
                <w:szCs w:val="22"/>
              </w:rPr>
              <w:t>Business rates and Council Tax collection</w:t>
            </w:r>
          </w:p>
        </w:tc>
        <w:tc>
          <w:tcPr>
            <w:tcW w:w="1200" w:type="dxa"/>
            <w:tcBorders>
              <w:top w:val="dotted" w:sz="4" w:space="0" w:color="auto"/>
              <w:left w:val="dotted" w:sz="4" w:space="0" w:color="auto"/>
              <w:bottom w:val="single" w:sz="4" w:space="0" w:color="auto"/>
              <w:right w:val="dotted" w:sz="4" w:space="0" w:color="auto"/>
            </w:tcBorders>
            <w:noWrap/>
            <w:vAlign w:val="bottom"/>
            <w:hideMark/>
          </w:tcPr>
          <w:p w:rsidR="00223A6F" w:rsidRPr="006C46BE" w:rsidRDefault="00223A6F">
            <w:pPr>
              <w:jc w:val="right"/>
              <w:rPr>
                <w:rFonts w:cs="Arial"/>
                <w:sz w:val="22"/>
                <w:szCs w:val="22"/>
                <w:lang w:eastAsia="en-GB"/>
              </w:rPr>
            </w:pPr>
            <w:r w:rsidRPr="006C46BE">
              <w:rPr>
                <w:rFonts w:cs="Arial"/>
                <w:sz w:val="22"/>
                <w:szCs w:val="22"/>
                <w:lang w:eastAsia="en-GB"/>
              </w:rPr>
              <w:t>(6,999)</w:t>
            </w:r>
          </w:p>
        </w:tc>
        <w:tc>
          <w:tcPr>
            <w:tcW w:w="1126" w:type="dxa"/>
            <w:tcBorders>
              <w:top w:val="dotted" w:sz="4" w:space="0" w:color="auto"/>
              <w:left w:val="dotted" w:sz="4" w:space="0" w:color="auto"/>
              <w:bottom w:val="single" w:sz="4" w:space="0" w:color="auto"/>
              <w:right w:val="dotted" w:sz="4" w:space="0" w:color="auto"/>
            </w:tcBorders>
            <w:hideMark/>
          </w:tcPr>
          <w:p w:rsidR="00223A6F" w:rsidRPr="006C46BE" w:rsidRDefault="00223A6F">
            <w:pPr>
              <w:ind w:left="27" w:hanging="27"/>
              <w:jc w:val="right"/>
              <w:rPr>
                <w:rFonts w:cs="Arial"/>
                <w:sz w:val="22"/>
                <w:szCs w:val="22"/>
              </w:rPr>
            </w:pPr>
            <w:r w:rsidRPr="006C46BE">
              <w:rPr>
                <w:rFonts w:cs="Arial"/>
                <w:sz w:val="22"/>
                <w:szCs w:val="22"/>
              </w:rPr>
              <w:t>(6,999)</w:t>
            </w:r>
          </w:p>
        </w:tc>
        <w:tc>
          <w:tcPr>
            <w:tcW w:w="2184" w:type="dxa"/>
            <w:tcBorders>
              <w:top w:val="dotted" w:sz="4" w:space="0" w:color="auto"/>
              <w:left w:val="dotted" w:sz="4" w:space="0" w:color="auto"/>
              <w:bottom w:val="dotted" w:sz="4" w:space="0" w:color="auto"/>
              <w:right w:val="dotted" w:sz="4" w:space="0" w:color="auto"/>
            </w:tcBorders>
            <w:noWrap/>
            <w:hideMark/>
          </w:tcPr>
          <w:p w:rsidR="00223A6F" w:rsidRPr="006C46BE" w:rsidRDefault="00223A6F">
            <w:pPr>
              <w:rPr>
                <w:rFonts w:cs="Arial"/>
                <w:sz w:val="22"/>
                <w:szCs w:val="22"/>
              </w:rPr>
            </w:pPr>
            <w:r w:rsidRPr="006C46BE">
              <w:rPr>
                <w:rFonts w:cs="Arial"/>
                <w:sz w:val="22"/>
                <w:szCs w:val="22"/>
              </w:rPr>
              <w:t>Paragraph 2.14 below</w:t>
            </w:r>
          </w:p>
        </w:tc>
      </w:tr>
      <w:tr w:rsidR="00223A6F" w:rsidRPr="006C46BE" w:rsidTr="00223A6F">
        <w:trPr>
          <w:trHeight w:val="255"/>
        </w:trPr>
        <w:tc>
          <w:tcPr>
            <w:tcW w:w="4517"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rPr>
                <w:rFonts w:cs="Arial"/>
                <w:b/>
                <w:sz w:val="22"/>
                <w:szCs w:val="22"/>
              </w:rPr>
            </w:pPr>
            <w:r w:rsidRPr="006C46BE">
              <w:rPr>
                <w:rFonts w:cs="Arial"/>
                <w:b/>
                <w:sz w:val="22"/>
                <w:szCs w:val="22"/>
              </w:rPr>
              <w:t>Projected use of balances in 2016/17</w:t>
            </w:r>
          </w:p>
        </w:tc>
        <w:tc>
          <w:tcPr>
            <w:tcW w:w="1200" w:type="dxa"/>
            <w:tcBorders>
              <w:top w:val="single" w:sz="4" w:space="0" w:color="auto"/>
              <w:left w:val="dotted" w:sz="4" w:space="0" w:color="auto"/>
              <w:bottom w:val="single" w:sz="4" w:space="0" w:color="auto"/>
              <w:right w:val="dotted" w:sz="4" w:space="0" w:color="auto"/>
            </w:tcBorders>
            <w:noWrap/>
            <w:vAlign w:val="bottom"/>
            <w:hideMark/>
          </w:tcPr>
          <w:p w:rsidR="00223A6F" w:rsidRPr="006C46BE" w:rsidRDefault="00223A6F">
            <w:pPr>
              <w:ind w:left="720" w:hanging="720"/>
              <w:jc w:val="right"/>
              <w:rPr>
                <w:rFonts w:cs="Arial"/>
                <w:b/>
                <w:sz w:val="22"/>
                <w:szCs w:val="22"/>
                <w:lang w:eastAsia="en-GB"/>
              </w:rPr>
            </w:pPr>
            <w:r w:rsidRPr="006C46BE">
              <w:rPr>
                <w:rFonts w:cs="Arial"/>
                <w:b/>
                <w:sz w:val="22"/>
                <w:szCs w:val="22"/>
                <w:lang w:eastAsia="en-GB"/>
              </w:rPr>
              <w:t>702</w:t>
            </w:r>
          </w:p>
        </w:tc>
        <w:tc>
          <w:tcPr>
            <w:tcW w:w="1126" w:type="dxa"/>
            <w:tcBorders>
              <w:top w:val="single" w:sz="4" w:space="0" w:color="auto"/>
              <w:left w:val="dotted" w:sz="4" w:space="0" w:color="auto"/>
              <w:bottom w:val="single" w:sz="4" w:space="0" w:color="auto"/>
              <w:right w:val="dotted" w:sz="4" w:space="0" w:color="auto"/>
            </w:tcBorders>
            <w:hideMark/>
          </w:tcPr>
          <w:p w:rsidR="00223A6F" w:rsidRPr="006C46BE" w:rsidRDefault="00223A6F">
            <w:pPr>
              <w:ind w:left="720" w:hanging="720"/>
              <w:jc w:val="right"/>
              <w:rPr>
                <w:rFonts w:cs="Arial"/>
                <w:b/>
                <w:sz w:val="22"/>
                <w:szCs w:val="22"/>
                <w:lang w:eastAsia="en-GB"/>
              </w:rPr>
            </w:pPr>
            <w:r w:rsidRPr="006C46BE">
              <w:rPr>
                <w:rFonts w:cs="Arial"/>
                <w:b/>
                <w:sz w:val="22"/>
                <w:szCs w:val="22"/>
                <w:lang w:eastAsia="en-GB"/>
              </w:rPr>
              <w:t>2,460</w:t>
            </w:r>
          </w:p>
        </w:tc>
        <w:tc>
          <w:tcPr>
            <w:tcW w:w="2184"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ind w:left="27" w:hanging="27"/>
              <w:jc w:val="right"/>
              <w:rPr>
                <w:rFonts w:cs="Arial"/>
                <w:sz w:val="22"/>
                <w:szCs w:val="22"/>
                <w:highlight w:val="yellow"/>
                <w:lang w:eastAsia="en-GB"/>
              </w:rPr>
            </w:pPr>
          </w:p>
        </w:tc>
      </w:tr>
    </w:tbl>
    <w:p w:rsidR="00223A6F" w:rsidRPr="006C46BE" w:rsidRDefault="00223A6F" w:rsidP="00223A6F">
      <w:pPr>
        <w:ind w:left="720" w:hanging="720"/>
        <w:rPr>
          <w:rFonts w:cs="Arial"/>
          <w:sz w:val="22"/>
          <w:szCs w:val="22"/>
          <w:highlight w:val="yellow"/>
        </w:rPr>
      </w:pPr>
    </w:p>
    <w:p w:rsidR="00223A6F" w:rsidRPr="006C46BE" w:rsidRDefault="00223A6F" w:rsidP="00223A6F">
      <w:pPr>
        <w:ind w:left="709"/>
        <w:rPr>
          <w:rFonts w:cs="Arial"/>
          <w:sz w:val="22"/>
          <w:szCs w:val="22"/>
        </w:rPr>
      </w:pPr>
      <w:r w:rsidRPr="006C46BE">
        <w:rPr>
          <w:rFonts w:cs="Arial"/>
          <w:sz w:val="22"/>
          <w:szCs w:val="22"/>
        </w:rPr>
        <w:t>An updated General Fund Summary (in the Budget Book format) setting out these changes is set out at A</w:t>
      </w:r>
      <w:r w:rsidR="003E380C">
        <w:rPr>
          <w:rFonts w:cs="Arial"/>
          <w:sz w:val="22"/>
          <w:szCs w:val="22"/>
        </w:rPr>
        <w:t xml:space="preserve">ppendix ‘B’ </w:t>
      </w:r>
      <w:r w:rsidRPr="006C46BE">
        <w:rPr>
          <w:rFonts w:cs="Arial"/>
          <w:sz w:val="22"/>
          <w:szCs w:val="22"/>
        </w:rPr>
        <w:t xml:space="preserve">and is explored in more detail in the following paragraphs.   </w:t>
      </w:r>
    </w:p>
    <w:p w:rsidR="00223A6F" w:rsidRPr="006C46BE" w:rsidRDefault="00223A6F" w:rsidP="00223A6F">
      <w:pPr>
        <w:ind w:left="709"/>
        <w:rPr>
          <w:rFonts w:cs="Arial"/>
          <w:sz w:val="22"/>
          <w:szCs w:val="22"/>
        </w:rPr>
      </w:pPr>
      <w:r w:rsidRPr="006C46BE">
        <w:rPr>
          <w:rFonts w:cs="Arial"/>
          <w:sz w:val="22"/>
          <w:szCs w:val="22"/>
        </w:rPr>
        <w:tab/>
        <w:t xml:space="preserve"> </w:t>
      </w:r>
    </w:p>
    <w:p w:rsidR="00223A6F" w:rsidRPr="006C46BE" w:rsidRDefault="00223A6F" w:rsidP="00223A6F">
      <w:pPr>
        <w:ind w:left="709" w:hanging="709"/>
        <w:rPr>
          <w:rFonts w:cs="Arial"/>
          <w:sz w:val="22"/>
          <w:szCs w:val="22"/>
        </w:rPr>
      </w:pPr>
      <w:r w:rsidRPr="006C46BE">
        <w:rPr>
          <w:rFonts w:cs="Arial"/>
          <w:sz w:val="22"/>
          <w:szCs w:val="22"/>
        </w:rPr>
        <w:lastRenderedPageBreak/>
        <w:t>2.2</w:t>
      </w:r>
      <w:r w:rsidRPr="006C46BE">
        <w:rPr>
          <w:rFonts w:cs="Arial"/>
          <w:sz w:val="22"/>
          <w:szCs w:val="22"/>
        </w:rPr>
        <w:tab/>
        <w:t xml:space="preserve">Assuming the predictions for the forecast outturn shown in table 1 materialise at the year end, this will reduce the General Fund working balance by £2.460m taking it from £6.536m at the start of the year to £4,076m at 31 March 2018. </w:t>
      </w:r>
    </w:p>
    <w:p w:rsidR="00223A6F" w:rsidRPr="006C46BE" w:rsidRDefault="00223A6F" w:rsidP="00223A6F">
      <w:pPr>
        <w:ind w:left="709"/>
        <w:rPr>
          <w:rFonts w:cs="Arial"/>
          <w:sz w:val="22"/>
          <w:szCs w:val="22"/>
          <w:highlight w:val="yellow"/>
        </w:rPr>
      </w:pPr>
    </w:p>
    <w:p w:rsidR="00223A6F" w:rsidRPr="006C46BE" w:rsidRDefault="00223A6F" w:rsidP="00223A6F">
      <w:pPr>
        <w:ind w:left="720" w:hanging="720"/>
        <w:rPr>
          <w:rFonts w:cs="Arial"/>
          <w:sz w:val="22"/>
          <w:szCs w:val="22"/>
          <w:u w:val="single"/>
        </w:rPr>
      </w:pPr>
      <w:r w:rsidRPr="006C46BE">
        <w:rPr>
          <w:rFonts w:cs="Arial"/>
          <w:sz w:val="22"/>
          <w:szCs w:val="22"/>
        </w:rPr>
        <w:tab/>
      </w:r>
      <w:r w:rsidRPr="006C46BE">
        <w:rPr>
          <w:rFonts w:cs="Arial"/>
          <w:sz w:val="22"/>
          <w:szCs w:val="22"/>
          <w:u w:val="single"/>
        </w:rPr>
        <w:t>Net Expenditure on Services</w:t>
      </w:r>
    </w:p>
    <w:p w:rsidR="00223A6F" w:rsidRPr="006C46BE" w:rsidRDefault="00223A6F" w:rsidP="00223A6F">
      <w:pPr>
        <w:ind w:left="720" w:hanging="720"/>
        <w:rPr>
          <w:rFonts w:cs="Arial"/>
          <w:sz w:val="22"/>
          <w:szCs w:val="22"/>
          <w:u w:val="single"/>
        </w:rPr>
      </w:pPr>
    </w:p>
    <w:p w:rsidR="00223A6F" w:rsidRDefault="00223A6F" w:rsidP="00223A6F">
      <w:pPr>
        <w:pStyle w:val="ListParagraph"/>
        <w:numPr>
          <w:ilvl w:val="1"/>
          <w:numId w:val="27"/>
        </w:numPr>
        <w:spacing w:after="0" w:line="240" w:lineRule="auto"/>
        <w:ind w:left="709" w:hanging="709"/>
        <w:rPr>
          <w:rFonts w:ascii="Arial" w:hAnsi="Arial" w:cs="Arial"/>
        </w:rPr>
      </w:pPr>
      <w:r w:rsidRPr="006C46BE">
        <w:rPr>
          <w:rFonts w:ascii="Arial" w:hAnsi="Arial" w:cs="Arial"/>
        </w:rPr>
        <w:t>The General Fund Summary set out in A</w:t>
      </w:r>
      <w:r w:rsidR="00394F48">
        <w:rPr>
          <w:rFonts w:ascii="Arial" w:hAnsi="Arial" w:cs="Arial"/>
        </w:rPr>
        <w:t>ppendi</w:t>
      </w:r>
      <w:r w:rsidRPr="006C46BE">
        <w:rPr>
          <w:rFonts w:ascii="Arial" w:hAnsi="Arial" w:cs="Arial"/>
        </w:rPr>
        <w:t xml:space="preserve">x </w:t>
      </w:r>
      <w:r w:rsidR="00394F48">
        <w:rPr>
          <w:rFonts w:ascii="Arial" w:hAnsi="Arial" w:cs="Arial"/>
        </w:rPr>
        <w:t>‘B’</w:t>
      </w:r>
      <w:r w:rsidRPr="006C46BE">
        <w:rPr>
          <w:rFonts w:ascii="Arial" w:hAnsi="Arial" w:cs="Arial"/>
        </w:rPr>
        <w:t xml:space="preserve"> sets out the net expenditure for each service area against the forecast outturn as at 30 June 2017.  The forecast outturn is made up of the original budget amended for any anticipated changes.  A summary of the more significant changes (over £5,000) at the Net Expenditure on Services level is set out in table 2 below:    </w:t>
      </w:r>
    </w:p>
    <w:p w:rsidR="00381F0C" w:rsidRDefault="00381F0C" w:rsidP="00381F0C">
      <w:pPr>
        <w:rPr>
          <w:rFonts w:cs="Arial"/>
        </w:rPr>
      </w:pPr>
    </w:p>
    <w:p w:rsidR="005127AE" w:rsidRDefault="005127AE" w:rsidP="00381F0C">
      <w:pPr>
        <w:rPr>
          <w:rFonts w:cs="Arial"/>
        </w:rPr>
      </w:pPr>
    </w:p>
    <w:p w:rsidR="005127AE" w:rsidRPr="00381F0C" w:rsidRDefault="005127AE" w:rsidP="00381F0C">
      <w:pPr>
        <w:rPr>
          <w:rFonts w:cs="Arial"/>
        </w:rPr>
      </w:pPr>
    </w:p>
    <w:tbl>
      <w:tblPr>
        <w:tblW w:w="8730"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502"/>
        <w:gridCol w:w="1228"/>
      </w:tblGrid>
      <w:tr w:rsidR="00223A6F" w:rsidRPr="006C46BE" w:rsidTr="00223A6F">
        <w:trPr>
          <w:trHeight w:val="255"/>
        </w:trPr>
        <w:tc>
          <w:tcPr>
            <w:tcW w:w="8730"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noWrap/>
            <w:vAlign w:val="bottom"/>
            <w:hideMark/>
          </w:tcPr>
          <w:p w:rsidR="00223A6F" w:rsidRPr="006C46BE" w:rsidRDefault="00223A6F">
            <w:pPr>
              <w:jc w:val="center"/>
              <w:rPr>
                <w:rFonts w:cs="Arial"/>
                <w:sz w:val="22"/>
                <w:szCs w:val="22"/>
              </w:rPr>
            </w:pPr>
            <w:r w:rsidRPr="006C46BE">
              <w:rPr>
                <w:rFonts w:cs="Arial"/>
                <w:b/>
                <w:sz w:val="22"/>
                <w:szCs w:val="22"/>
                <w:lang w:eastAsia="en-GB"/>
              </w:rPr>
              <w:t>Table 2 – Changes in Net Expenditure on Services</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tabs>
                <w:tab w:val="left" w:pos="522"/>
              </w:tabs>
              <w:ind w:left="162"/>
              <w:rPr>
                <w:rStyle w:val="endsenrhsennumparatext"/>
                <w:rFonts w:cs="Arial"/>
                <w:sz w:val="22"/>
                <w:szCs w:val="22"/>
                <w:lang w:val="en"/>
              </w:rPr>
            </w:pPr>
            <w:r w:rsidRPr="006C46BE">
              <w:rPr>
                <w:rStyle w:val="endsenrhsennumparatext"/>
                <w:rFonts w:cs="Arial"/>
                <w:sz w:val="22"/>
                <w:szCs w:val="22"/>
                <w:lang w:val="en"/>
              </w:rPr>
              <w:t>( ) = reduced expend or increased income</w:t>
            </w:r>
          </w:p>
          <w:p w:rsidR="00223A6F" w:rsidRPr="006C46BE" w:rsidRDefault="00223A6F">
            <w:pPr>
              <w:tabs>
                <w:tab w:val="left" w:pos="522"/>
              </w:tabs>
              <w:ind w:left="162"/>
              <w:rPr>
                <w:rStyle w:val="endsenrhsennumparatext"/>
                <w:rFonts w:cs="Arial"/>
                <w:b/>
                <w:sz w:val="22"/>
                <w:szCs w:val="22"/>
                <w:lang w:val="en"/>
              </w:rPr>
            </w:pPr>
          </w:p>
        </w:tc>
        <w:tc>
          <w:tcPr>
            <w:tcW w:w="1228" w:type="dxa"/>
            <w:tcBorders>
              <w:top w:val="dotted" w:sz="4" w:space="0" w:color="auto"/>
              <w:left w:val="dotted" w:sz="4" w:space="0" w:color="auto"/>
              <w:bottom w:val="dotted" w:sz="4" w:space="0" w:color="auto"/>
              <w:right w:val="dotted" w:sz="4" w:space="0" w:color="auto"/>
            </w:tcBorders>
            <w:noWrap/>
            <w:hideMark/>
          </w:tcPr>
          <w:p w:rsidR="00223A6F" w:rsidRPr="006C46BE" w:rsidRDefault="00223A6F">
            <w:pPr>
              <w:jc w:val="center"/>
              <w:rPr>
                <w:rFonts w:cs="Arial"/>
                <w:b/>
                <w:sz w:val="22"/>
                <w:szCs w:val="22"/>
                <w:lang w:eastAsia="en-GB"/>
              </w:rPr>
            </w:pPr>
            <w:r w:rsidRPr="006C46BE">
              <w:rPr>
                <w:rFonts w:cs="Arial"/>
                <w:b/>
                <w:sz w:val="22"/>
                <w:szCs w:val="22"/>
                <w:lang w:eastAsia="en-GB"/>
              </w:rPr>
              <w:t>2017/18</w:t>
            </w:r>
          </w:p>
          <w:p w:rsidR="00223A6F" w:rsidRPr="006C46BE" w:rsidRDefault="00223A6F">
            <w:pPr>
              <w:jc w:val="center"/>
              <w:rPr>
                <w:rFonts w:cs="Arial"/>
                <w:sz w:val="22"/>
                <w:szCs w:val="22"/>
              </w:rPr>
            </w:pPr>
            <w:r w:rsidRPr="006C46BE">
              <w:rPr>
                <w:rFonts w:cs="Arial"/>
                <w:b/>
                <w:sz w:val="22"/>
                <w:szCs w:val="22"/>
                <w:lang w:eastAsia="en-GB"/>
              </w:rPr>
              <w:t>£’000</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tcPr>
          <w:p w:rsidR="00223A6F" w:rsidRPr="006C46BE" w:rsidRDefault="00223A6F">
            <w:pPr>
              <w:tabs>
                <w:tab w:val="left" w:pos="522"/>
              </w:tabs>
              <w:ind w:left="162"/>
              <w:rPr>
                <w:rStyle w:val="endsenrhsennumparatext"/>
                <w:rFonts w:cs="Arial"/>
                <w:b/>
                <w:sz w:val="22"/>
                <w:szCs w:val="22"/>
                <w:highlight w:val="yellow"/>
                <w:lang w:val="en"/>
              </w:rPr>
            </w:pPr>
          </w:p>
        </w:tc>
        <w:tc>
          <w:tcPr>
            <w:tcW w:w="1228" w:type="dxa"/>
            <w:tcBorders>
              <w:top w:val="dotted" w:sz="4" w:space="0" w:color="auto"/>
              <w:left w:val="dotted" w:sz="4" w:space="0" w:color="auto"/>
              <w:bottom w:val="dotted" w:sz="4" w:space="0" w:color="auto"/>
              <w:right w:val="dotted" w:sz="4" w:space="0" w:color="auto"/>
            </w:tcBorders>
            <w:noWrap/>
            <w:vAlign w:val="center"/>
          </w:tcPr>
          <w:p w:rsidR="00223A6F" w:rsidRPr="006C46BE" w:rsidRDefault="00223A6F">
            <w:pPr>
              <w:jc w:val="right"/>
              <w:rPr>
                <w:rFonts w:cs="Arial"/>
                <w:b/>
                <w:sz w:val="22"/>
                <w:szCs w:val="22"/>
                <w:highlight w:val="yellow"/>
                <w:lang w:eastAsia="en-GB"/>
              </w:rPr>
            </w:pP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pPr>
              <w:tabs>
                <w:tab w:val="left" w:pos="522"/>
              </w:tabs>
              <w:ind w:left="162"/>
              <w:rPr>
                <w:rStyle w:val="endsenrhsennumparatext"/>
                <w:rFonts w:cs="Arial"/>
                <w:b/>
                <w:sz w:val="22"/>
                <w:szCs w:val="22"/>
                <w:lang w:val="en"/>
              </w:rPr>
            </w:pPr>
            <w:r w:rsidRPr="006C46BE">
              <w:rPr>
                <w:rFonts w:cs="Arial"/>
                <w:b/>
                <w:sz w:val="22"/>
                <w:szCs w:val="22"/>
              </w:rPr>
              <w:t xml:space="preserve">Original </w:t>
            </w:r>
            <w:r w:rsidRPr="006C46BE">
              <w:rPr>
                <w:rStyle w:val="endsenrhsennumparatext"/>
                <w:rFonts w:cs="Arial"/>
                <w:b/>
                <w:sz w:val="22"/>
                <w:szCs w:val="22"/>
                <w:lang w:val="en"/>
              </w:rPr>
              <w:t>Net Expenditure on Services:</w:t>
            </w:r>
          </w:p>
        </w:tc>
        <w:tc>
          <w:tcPr>
            <w:tcW w:w="1228"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pPr>
              <w:jc w:val="right"/>
              <w:rPr>
                <w:rFonts w:cs="Arial"/>
                <w:b/>
                <w:sz w:val="22"/>
                <w:szCs w:val="22"/>
                <w:highlight w:val="yellow"/>
                <w:lang w:eastAsia="en-GB"/>
              </w:rPr>
            </w:pPr>
            <w:r w:rsidRPr="006C46BE">
              <w:rPr>
                <w:rFonts w:cs="Arial"/>
                <w:b/>
                <w:sz w:val="22"/>
                <w:szCs w:val="22"/>
                <w:lang w:eastAsia="en-GB"/>
              </w:rPr>
              <w:t>3,153</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tcPr>
          <w:p w:rsidR="00223A6F" w:rsidRPr="006C46BE" w:rsidRDefault="00223A6F">
            <w:pPr>
              <w:tabs>
                <w:tab w:val="left" w:pos="522"/>
              </w:tabs>
              <w:ind w:left="162"/>
              <w:rPr>
                <w:rFonts w:cs="Arial"/>
                <w:b/>
                <w:sz w:val="22"/>
                <w:szCs w:val="22"/>
              </w:rPr>
            </w:pPr>
          </w:p>
        </w:tc>
        <w:tc>
          <w:tcPr>
            <w:tcW w:w="1228" w:type="dxa"/>
            <w:tcBorders>
              <w:top w:val="dotted" w:sz="4" w:space="0" w:color="auto"/>
              <w:left w:val="dotted" w:sz="4" w:space="0" w:color="auto"/>
              <w:bottom w:val="dotted" w:sz="4" w:space="0" w:color="auto"/>
              <w:right w:val="dotted" w:sz="4" w:space="0" w:color="auto"/>
            </w:tcBorders>
            <w:noWrap/>
            <w:vAlign w:val="center"/>
          </w:tcPr>
          <w:p w:rsidR="00223A6F" w:rsidRPr="006C46BE" w:rsidRDefault="00223A6F">
            <w:pPr>
              <w:jc w:val="right"/>
              <w:rPr>
                <w:rFonts w:cs="Arial"/>
                <w:b/>
                <w:sz w:val="22"/>
                <w:szCs w:val="22"/>
                <w:lang w:eastAsia="en-GB"/>
              </w:rPr>
            </w:pP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pPr>
              <w:ind w:left="720" w:hanging="555"/>
              <w:rPr>
                <w:rFonts w:cs="Arial"/>
                <w:b/>
                <w:sz w:val="22"/>
                <w:szCs w:val="22"/>
                <w:lang w:eastAsia="en-GB"/>
              </w:rPr>
            </w:pPr>
            <w:r w:rsidRPr="006C46BE">
              <w:rPr>
                <w:rFonts w:cs="Arial"/>
                <w:b/>
                <w:sz w:val="22"/>
                <w:szCs w:val="22"/>
                <w:lang w:eastAsia="en-GB"/>
              </w:rPr>
              <w:t>Housing Committee</w:t>
            </w:r>
          </w:p>
        </w:tc>
        <w:tc>
          <w:tcPr>
            <w:tcW w:w="1228"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ind w:left="720" w:hanging="720"/>
              <w:jc w:val="center"/>
              <w:rPr>
                <w:rFonts w:cs="Arial"/>
                <w:bCs/>
                <w:sz w:val="22"/>
                <w:szCs w:val="22"/>
                <w:lang w:eastAsia="en-GB"/>
              </w:rPr>
            </w:pP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rsidP="00223A6F">
            <w:pPr>
              <w:pStyle w:val="ListParagraph"/>
              <w:numPr>
                <w:ilvl w:val="0"/>
                <w:numId w:val="28"/>
              </w:numPr>
              <w:spacing w:after="0" w:line="240" w:lineRule="auto"/>
              <w:ind w:left="590" w:hanging="425"/>
              <w:rPr>
                <w:rStyle w:val="endsenrhsennumparatext"/>
                <w:rFonts w:ascii="Arial" w:hAnsi="Arial" w:cs="Arial"/>
                <w:lang w:val="en"/>
              </w:rPr>
            </w:pPr>
            <w:r w:rsidRPr="006C46BE">
              <w:rPr>
                <w:rStyle w:val="endsenrhsennumparatext"/>
                <w:rFonts w:ascii="Arial" w:hAnsi="Arial" w:cs="Arial"/>
                <w:lang w:val="en"/>
              </w:rPr>
              <w:t xml:space="preserve">Housing options additional temporary staff, budget no longer required in 2017/18 as provision fully </w:t>
            </w:r>
            <w:proofErr w:type="spellStart"/>
            <w:r w:rsidRPr="006C46BE">
              <w:rPr>
                <w:rStyle w:val="endsenrhsennumparatext"/>
                <w:rFonts w:ascii="Arial" w:hAnsi="Arial" w:cs="Arial"/>
                <w:lang w:val="en"/>
              </w:rPr>
              <w:t>utilised</w:t>
            </w:r>
            <w:proofErr w:type="spellEnd"/>
            <w:r w:rsidRPr="006C46BE">
              <w:rPr>
                <w:rStyle w:val="endsenrhsennumparatext"/>
                <w:rFonts w:ascii="Arial" w:hAnsi="Arial" w:cs="Arial"/>
                <w:lang w:val="en"/>
              </w:rPr>
              <w:t xml:space="preserve"> in 2016/17.</w:t>
            </w:r>
          </w:p>
        </w:tc>
        <w:tc>
          <w:tcPr>
            <w:tcW w:w="1228"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ind w:left="720" w:hanging="720"/>
              <w:jc w:val="right"/>
              <w:rPr>
                <w:rFonts w:cs="Arial"/>
                <w:bCs/>
                <w:sz w:val="22"/>
                <w:szCs w:val="22"/>
                <w:lang w:eastAsia="en-GB"/>
              </w:rPr>
            </w:pPr>
            <w:r w:rsidRPr="006C46BE">
              <w:rPr>
                <w:rFonts w:cs="Arial"/>
                <w:bCs/>
                <w:sz w:val="22"/>
                <w:szCs w:val="22"/>
                <w:lang w:eastAsia="en-GB"/>
              </w:rPr>
              <w:t>(11)</w:t>
            </w:r>
          </w:p>
          <w:p w:rsidR="00223A6F" w:rsidRPr="006C46BE" w:rsidRDefault="00223A6F">
            <w:pPr>
              <w:ind w:left="720" w:hanging="720"/>
              <w:jc w:val="right"/>
              <w:rPr>
                <w:rFonts w:cs="Arial"/>
                <w:bCs/>
                <w:sz w:val="22"/>
                <w:szCs w:val="22"/>
                <w:lang w:eastAsia="en-GB"/>
              </w:rPr>
            </w:pP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rsidP="00394F48">
            <w:pPr>
              <w:pStyle w:val="ListParagraph"/>
              <w:numPr>
                <w:ilvl w:val="0"/>
                <w:numId w:val="28"/>
              </w:numPr>
              <w:spacing w:after="0" w:line="240" w:lineRule="auto"/>
              <w:ind w:left="590" w:hanging="425"/>
              <w:rPr>
                <w:rStyle w:val="endsenrhsennumparatext"/>
                <w:rFonts w:ascii="Arial" w:hAnsi="Arial" w:cs="Arial"/>
                <w:lang w:val="en"/>
              </w:rPr>
            </w:pPr>
            <w:r w:rsidRPr="006C46BE">
              <w:rPr>
                <w:rStyle w:val="endsenrhsennumparatext"/>
                <w:rFonts w:ascii="Arial" w:hAnsi="Arial" w:cs="Arial"/>
                <w:lang w:val="en"/>
              </w:rPr>
              <w:t>Housing Advi</w:t>
            </w:r>
            <w:r w:rsidR="00394F48">
              <w:rPr>
                <w:rStyle w:val="endsenrhsennumparatext"/>
                <w:rFonts w:ascii="Arial" w:hAnsi="Arial" w:cs="Arial"/>
                <w:lang w:val="en"/>
              </w:rPr>
              <w:t>c</w:t>
            </w:r>
            <w:r w:rsidRPr="006C46BE">
              <w:rPr>
                <w:rStyle w:val="endsenrhsennumparatext"/>
                <w:rFonts w:ascii="Arial" w:hAnsi="Arial" w:cs="Arial"/>
                <w:lang w:val="en"/>
              </w:rPr>
              <w:t>e staff – Additional staff (1.5fte) approved by CMC March 2017. (Net of HRA contribution)</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bCs/>
                <w:sz w:val="22"/>
                <w:szCs w:val="22"/>
                <w:lang w:eastAsia="en-GB"/>
              </w:rPr>
            </w:pPr>
            <w:r w:rsidRPr="006C46BE">
              <w:rPr>
                <w:rFonts w:cs="Arial"/>
                <w:bCs/>
                <w:sz w:val="22"/>
                <w:szCs w:val="22"/>
                <w:lang w:eastAsia="en-GB"/>
              </w:rPr>
              <w:t>42</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rsidP="00223A6F">
            <w:pPr>
              <w:pStyle w:val="ListParagraph"/>
              <w:numPr>
                <w:ilvl w:val="0"/>
                <w:numId w:val="28"/>
              </w:numPr>
              <w:spacing w:after="0" w:line="240" w:lineRule="auto"/>
              <w:ind w:left="590" w:hanging="425"/>
              <w:rPr>
                <w:rStyle w:val="endsenrhsennumparatext"/>
                <w:rFonts w:ascii="Arial" w:hAnsi="Arial" w:cs="Arial"/>
                <w:lang w:val="en"/>
              </w:rPr>
            </w:pPr>
            <w:r w:rsidRPr="006C46BE">
              <w:rPr>
                <w:rStyle w:val="endsenrhsennumparatext"/>
                <w:rFonts w:ascii="Arial" w:hAnsi="Arial" w:cs="Arial"/>
                <w:lang w:val="en"/>
              </w:rPr>
              <w:t>Magna Carta Lettings – P/U Repayment of Bond guarantees not required in 2016/17</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bCs/>
                <w:sz w:val="22"/>
                <w:szCs w:val="22"/>
                <w:lang w:eastAsia="en-GB"/>
              </w:rPr>
            </w:pPr>
            <w:r w:rsidRPr="006C46BE">
              <w:rPr>
                <w:rFonts w:cs="Arial"/>
                <w:bCs/>
                <w:sz w:val="22"/>
                <w:szCs w:val="22"/>
                <w:lang w:eastAsia="en-GB"/>
              </w:rPr>
              <w:t>24</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rsidP="00223A6F">
            <w:pPr>
              <w:pStyle w:val="ListParagraph"/>
              <w:numPr>
                <w:ilvl w:val="0"/>
                <w:numId w:val="28"/>
              </w:numPr>
              <w:spacing w:after="0" w:line="240" w:lineRule="auto"/>
              <w:ind w:left="590" w:hanging="425"/>
              <w:rPr>
                <w:rStyle w:val="endsenrhsennumparatext"/>
                <w:rFonts w:ascii="Arial" w:hAnsi="Arial" w:cs="Arial"/>
                <w:lang w:val="en"/>
              </w:rPr>
            </w:pPr>
            <w:r w:rsidRPr="006C46BE">
              <w:rPr>
                <w:rStyle w:val="endsenrhsennumparatext"/>
                <w:rFonts w:ascii="Arial" w:hAnsi="Arial" w:cs="Arial"/>
                <w:lang w:val="en"/>
              </w:rPr>
              <w:t>Magna Carta Lettings – Enhancement of scheme approved by Housing Committee &amp; CMC in March 2017</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bCs/>
                <w:sz w:val="22"/>
                <w:szCs w:val="22"/>
                <w:lang w:eastAsia="en-GB"/>
              </w:rPr>
            </w:pPr>
            <w:r w:rsidRPr="006C46BE">
              <w:rPr>
                <w:rFonts w:cs="Arial"/>
                <w:bCs/>
                <w:sz w:val="22"/>
                <w:szCs w:val="22"/>
                <w:lang w:eastAsia="en-GB"/>
              </w:rPr>
              <w:t>32</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rsidP="00223A6F">
            <w:pPr>
              <w:pStyle w:val="ListParagraph"/>
              <w:numPr>
                <w:ilvl w:val="0"/>
                <w:numId w:val="28"/>
              </w:numPr>
              <w:spacing w:after="0" w:line="240" w:lineRule="auto"/>
              <w:ind w:left="590" w:hanging="425"/>
              <w:rPr>
                <w:rStyle w:val="endsenrhsennumparatext"/>
                <w:rFonts w:ascii="Arial" w:hAnsi="Arial" w:cs="Arial"/>
                <w:lang w:val="en"/>
              </w:rPr>
            </w:pPr>
            <w:r w:rsidRPr="006C46BE">
              <w:rPr>
                <w:rStyle w:val="endsenrhsennumparatext"/>
                <w:rFonts w:ascii="Arial" w:hAnsi="Arial" w:cs="Arial"/>
                <w:lang w:val="en"/>
              </w:rPr>
              <w:t xml:space="preserve">Homelessness – Increased demand on Bed &amp; Breakfast accommodation since the spring will result in estimated increased net costs. </w:t>
            </w:r>
          </w:p>
        </w:tc>
        <w:tc>
          <w:tcPr>
            <w:tcW w:w="1228"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ind w:left="720" w:hanging="720"/>
              <w:jc w:val="right"/>
              <w:rPr>
                <w:rFonts w:cs="Arial"/>
                <w:bCs/>
                <w:sz w:val="22"/>
                <w:szCs w:val="22"/>
                <w:lang w:eastAsia="en-GB"/>
              </w:rPr>
            </w:pPr>
            <w:r w:rsidRPr="006C46BE">
              <w:rPr>
                <w:rFonts w:cs="Arial"/>
                <w:bCs/>
                <w:sz w:val="22"/>
                <w:szCs w:val="22"/>
                <w:lang w:eastAsia="en-GB"/>
              </w:rPr>
              <w:t>100</w:t>
            </w:r>
          </w:p>
          <w:p w:rsidR="00223A6F" w:rsidRPr="006C46BE" w:rsidRDefault="00223A6F">
            <w:pPr>
              <w:ind w:left="720" w:hanging="720"/>
              <w:jc w:val="right"/>
              <w:rPr>
                <w:rFonts w:cs="Arial"/>
                <w:bCs/>
                <w:sz w:val="22"/>
                <w:szCs w:val="22"/>
                <w:lang w:eastAsia="en-GB"/>
              </w:rPr>
            </w:pP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rsidP="00223A6F">
            <w:pPr>
              <w:pStyle w:val="ListParagraph"/>
              <w:numPr>
                <w:ilvl w:val="0"/>
                <w:numId w:val="28"/>
              </w:numPr>
              <w:spacing w:after="0" w:line="240" w:lineRule="auto"/>
              <w:ind w:left="590" w:hanging="425"/>
              <w:rPr>
                <w:rStyle w:val="endsenrhsennumparatext"/>
                <w:rFonts w:ascii="Arial" w:hAnsi="Arial" w:cs="Arial"/>
                <w:lang w:val="en"/>
              </w:rPr>
            </w:pPr>
            <w:r w:rsidRPr="006C46BE">
              <w:rPr>
                <w:rStyle w:val="endsenrhsennumparatext"/>
                <w:rFonts w:ascii="Arial" w:hAnsi="Arial" w:cs="Arial"/>
                <w:lang w:val="en"/>
              </w:rPr>
              <w:t>Benefits – The annual reduction in the administrative grant was less than estimated in the current budgets</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bCs/>
                <w:sz w:val="22"/>
                <w:szCs w:val="22"/>
                <w:lang w:eastAsia="en-GB"/>
              </w:rPr>
            </w:pPr>
            <w:r w:rsidRPr="006C46BE">
              <w:rPr>
                <w:rFonts w:cs="Arial"/>
                <w:bCs/>
                <w:sz w:val="22"/>
                <w:szCs w:val="22"/>
                <w:lang w:eastAsia="en-GB"/>
              </w:rPr>
              <w:t>(13)</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tcPr>
          <w:p w:rsidR="00223A6F" w:rsidRPr="006C46BE" w:rsidRDefault="00223A6F">
            <w:pPr>
              <w:ind w:left="165"/>
              <w:rPr>
                <w:rStyle w:val="endsenrhsennumparatext"/>
                <w:rFonts w:cs="Arial"/>
                <w:sz w:val="22"/>
                <w:szCs w:val="22"/>
                <w:lang w:val="en"/>
              </w:rPr>
            </w:pPr>
          </w:p>
        </w:tc>
        <w:tc>
          <w:tcPr>
            <w:tcW w:w="1228"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ind w:left="720" w:hanging="720"/>
              <w:jc w:val="right"/>
              <w:rPr>
                <w:rFonts w:cs="Arial"/>
                <w:bCs/>
                <w:sz w:val="22"/>
                <w:szCs w:val="22"/>
                <w:lang w:eastAsia="en-GB"/>
              </w:rPr>
            </w:pP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162"/>
              <w:rPr>
                <w:rStyle w:val="endsenrhsennumparatext"/>
                <w:rFonts w:cs="Arial"/>
                <w:b/>
                <w:sz w:val="22"/>
                <w:szCs w:val="22"/>
                <w:lang w:val="en"/>
              </w:rPr>
            </w:pPr>
            <w:r w:rsidRPr="006C46BE">
              <w:rPr>
                <w:rStyle w:val="endsenrhsennumparatext"/>
                <w:rFonts w:cs="Arial"/>
                <w:b/>
                <w:sz w:val="22"/>
                <w:szCs w:val="22"/>
                <w:lang w:val="en"/>
              </w:rPr>
              <w:t>Community Services Committee</w:t>
            </w:r>
          </w:p>
        </w:tc>
        <w:tc>
          <w:tcPr>
            <w:tcW w:w="1228"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ind w:left="720" w:hanging="720"/>
              <w:jc w:val="right"/>
              <w:rPr>
                <w:rFonts w:cs="Arial"/>
                <w:sz w:val="22"/>
                <w:szCs w:val="22"/>
                <w:lang w:eastAsia="en-GB"/>
              </w:rPr>
            </w:pP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pStyle w:val="ListParagraph"/>
              <w:numPr>
                <w:ilvl w:val="0"/>
                <w:numId w:val="28"/>
              </w:numPr>
              <w:spacing w:after="0" w:line="240" w:lineRule="auto"/>
              <w:ind w:left="590" w:hanging="425"/>
              <w:rPr>
                <w:rStyle w:val="endsenrhsennumparatext"/>
                <w:rFonts w:ascii="Arial" w:hAnsi="Arial" w:cs="Arial"/>
                <w:lang w:val="en"/>
              </w:rPr>
            </w:pPr>
            <w:r w:rsidRPr="006C46BE">
              <w:rPr>
                <w:rStyle w:val="endsenrhsennumparatext"/>
                <w:rFonts w:ascii="Arial" w:hAnsi="Arial" w:cs="Arial"/>
                <w:lang w:val="en"/>
              </w:rPr>
              <w:t>Meals on Wheels service – Regrading of staff wages (CMC – June 2017)</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14</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9F1077" w:rsidP="00223A6F">
            <w:pPr>
              <w:pStyle w:val="ListParagraph"/>
              <w:numPr>
                <w:ilvl w:val="0"/>
                <w:numId w:val="28"/>
              </w:numPr>
              <w:tabs>
                <w:tab w:val="left" w:pos="522"/>
              </w:tabs>
              <w:spacing w:after="0" w:line="240" w:lineRule="auto"/>
              <w:rPr>
                <w:rStyle w:val="endsenrhsennumparatext"/>
                <w:rFonts w:ascii="Arial" w:hAnsi="Arial" w:cs="Arial"/>
                <w:b/>
                <w:lang w:val="en"/>
              </w:rPr>
            </w:pPr>
            <w:r>
              <w:rPr>
                <w:rStyle w:val="endsenrhsennumparatext"/>
                <w:rFonts w:ascii="Arial" w:hAnsi="Arial" w:cs="Arial"/>
                <w:lang w:val="en"/>
              </w:rPr>
              <w:t xml:space="preserve"> Day </w:t>
            </w:r>
            <w:proofErr w:type="spellStart"/>
            <w:r>
              <w:rPr>
                <w:rStyle w:val="endsenrhsennumparatext"/>
                <w:rFonts w:ascii="Arial" w:hAnsi="Arial" w:cs="Arial"/>
                <w:lang w:val="en"/>
              </w:rPr>
              <w:t>Centre</w:t>
            </w:r>
            <w:r w:rsidR="00223A6F" w:rsidRPr="006C46BE">
              <w:rPr>
                <w:rStyle w:val="endsenrhsennumparatext"/>
                <w:rFonts w:ascii="Arial" w:hAnsi="Arial" w:cs="Arial"/>
                <w:lang w:val="en"/>
              </w:rPr>
              <w:t>s</w:t>
            </w:r>
            <w:proofErr w:type="spellEnd"/>
            <w:r w:rsidR="00223A6F" w:rsidRPr="006C46BE">
              <w:rPr>
                <w:rStyle w:val="endsenrhsennumparatext"/>
                <w:rFonts w:ascii="Arial" w:hAnsi="Arial" w:cs="Arial"/>
                <w:lang w:val="en"/>
              </w:rPr>
              <w:t xml:space="preserve"> – Increased Business Rates following Age Concern</w:t>
            </w:r>
            <w:r>
              <w:rPr>
                <w:rStyle w:val="endsenrhsennumparatext"/>
                <w:rFonts w:ascii="Arial" w:hAnsi="Arial" w:cs="Arial"/>
                <w:lang w:val="en"/>
              </w:rPr>
              <w:t>’</w:t>
            </w:r>
            <w:r w:rsidR="00223A6F" w:rsidRPr="006C46BE">
              <w:rPr>
                <w:rStyle w:val="endsenrhsennumparatext"/>
                <w:rFonts w:ascii="Arial" w:hAnsi="Arial" w:cs="Arial"/>
                <w:lang w:val="en"/>
              </w:rPr>
              <w:t xml:space="preserve">s vacation of the Orchard Day </w:t>
            </w:r>
            <w:proofErr w:type="spellStart"/>
            <w:r w:rsidR="00223A6F" w:rsidRPr="006C46BE">
              <w:rPr>
                <w:rStyle w:val="endsenrhsennumparatext"/>
                <w:rFonts w:ascii="Arial" w:hAnsi="Arial" w:cs="Arial"/>
                <w:lang w:val="en"/>
              </w:rPr>
              <w:t>centre</w:t>
            </w:r>
            <w:proofErr w:type="spellEnd"/>
            <w:r w:rsidR="00223A6F" w:rsidRPr="006C46BE">
              <w:rPr>
                <w:rStyle w:val="endsenrhsennumparatext"/>
                <w:rFonts w:ascii="Arial" w:hAnsi="Arial" w:cs="Arial"/>
                <w:lang w:val="en"/>
              </w:rPr>
              <w:t>.</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6</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9F1077" w:rsidP="00223A6F">
            <w:pPr>
              <w:pStyle w:val="ListParagraph"/>
              <w:numPr>
                <w:ilvl w:val="0"/>
                <w:numId w:val="28"/>
              </w:numPr>
              <w:tabs>
                <w:tab w:val="left" w:pos="522"/>
              </w:tabs>
              <w:spacing w:after="0" w:line="240" w:lineRule="auto"/>
              <w:rPr>
                <w:rStyle w:val="endsenrhsennumparatext"/>
                <w:rFonts w:ascii="Arial" w:hAnsi="Arial" w:cs="Arial"/>
                <w:lang w:val="en"/>
              </w:rPr>
            </w:pPr>
            <w:r>
              <w:rPr>
                <w:rStyle w:val="endsenrhsennumparatext"/>
                <w:rFonts w:ascii="Arial" w:hAnsi="Arial" w:cs="Arial"/>
                <w:lang w:val="en"/>
              </w:rPr>
              <w:t xml:space="preserve">Day </w:t>
            </w:r>
            <w:proofErr w:type="spellStart"/>
            <w:r>
              <w:rPr>
                <w:rStyle w:val="endsenrhsennumparatext"/>
                <w:rFonts w:ascii="Arial" w:hAnsi="Arial" w:cs="Arial"/>
                <w:lang w:val="en"/>
              </w:rPr>
              <w:t>Centre</w:t>
            </w:r>
            <w:r w:rsidR="00223A6F" w:rsidRPr="006C46BE">
              <w:rPr>
                <w:rStyle w:val="endsenrhsennumparatext"/>
                <w:rFonts w:ascii="Arial" w:hAnsi="Arial" w:cs="Arial"/>
                <w:lang w:val="en"/>
              </w:rPr>
              <w:t>s</w:t>
            </w:r>
            <w:proofErr w:type="spellEnd"/>
            <w:r w:rsidR="00223A6F" w:rsidRPr="006C46BE">
              <w:rPr>
                <w:rStyle w:val="endsenrhsennumparatext"/>
                <w:rFonts w:ascii="Arial" w:hAnsi="Arial" w:cs="Arial"/>
                <w:lang w:val="en"/>
              </w:rPr>
              <w:t xml:space="preserve"> – New income from letting of premises to SCAS (net of expenses incurred in 2017) – Community Services Committee – June 2017 </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(24)</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pStyle w:val="ListParagraph"/>
              <w:numPr>
                <w:ilvl w:val="0"/>
                <w:numId w:val="28"/>
              </w:numPr>
              <w:tabs>
                <w:tab w:val="left" w:pos="522"/>
              </w:tabs>
              <w:spacing w:after="0" w:line="240" w:lineRule="auto"/>
              <w:rPr>
                <w:rStyle w:val="endsenrhsennumparatext"/>
                <w:rFonts w:ascii="Arial" w:hAnsi="Arial" w:cs="Arial"/>
                <w:lang w:val="en"/>
              </w:rPr>
            </w:pPr>
            <w:r w:rsidRPr="006C46BE">
              <w:rPr>
                <w:rStyle w:val="endsenrhsennumparatext"/>
                <w:rFonts w:ascii="Arial" w:hAnsi="Arial" w:cs="Arial"/>
                <w:lang w:val="en"/>
              </w:rPr>
              <w:t>Safer Runnymede – Increase in sickness and overtime provisions</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15</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pStyle w:val="ListParagraph"/>
              <w:numPr>
                <w:ilvl w:val="0"/>
                <w:numId w:val="28"/>
              </w:numPr>
              <w:tabs>
                <w:tab w:val="left" w:pos="522"/>
              </w:tabs>
              <w:spacing w:after="0" w:line="240" w:lineRule="auto"/>
              <w:rPr>
                <w:rStyle w:val="endsenrhsennumparatext"/>
                <w:rFonts w:ascii="Arial" w:hAnsi="Arial" w:cs="Arial"/>
                <w:lang w:val="en"/>
              </w:rPr>
            </w:pPr>
            <w:r w:rsidRPr="006C46BE">
              <w:rPr>
                <w:rStyle w:val="endsenrhsennumparatext"/>
                <w:rFonts w:ascii="Arial" w:hAnsi="Arial" w:cs="Arial"/>
                <w:lang w:val="en"/>
              </w:rPr>
              <w:t>Safer Runnymede – Net loss of income following loss of contracts</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103</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pStyle w:val="ListParagraph"/>
              <w:numPr>
                <w:ilvl w:val="0"/>
                <w:numId w:val="28"/>
              </w:numPr>
              <w:tabs>
                <w:tab w:val="left" w:pos="522"/>
              </w:tabs>
              <w:spacing w:after="0" w:line="240" w:lineRule="auto"/>
              <w:rPr>
                <w:rStyle w:val="endsenrhsennumparatext"/>
                <w:rFonts w:ascii="Arial" w:hAnsi="Arial" w:cs="Arial"/>
                <w:lang w:val="en"/>
              </w:rPr>
            </w:pPr>
            <w:r w:rsidRPr="006C46BE">
              <w:rPr>
                <w:rStyle w:val="endsenrhsennumparatext"/>
                <w:rFonts w:ascii="Arial" w:hAnsi="Arial" w:cs="Arial"/>
                <w:lang w:val="en"/>
              </w:rPr>
              <w:t>Grant Aid – Increase in Community First budget (CMC – Jan 2017)</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5</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tabs>
                <w:tab w:val="left" w:pos="522"/>
              </w:tabs>
              <w:ind w:left="162"/>
              <w:rPr>
                <w:rStyle w:val="endsenrhsennumparatext"/>
                <w:rFonts w:cs="Arial"/>
                <w:sz w:val="22"/>
                <w:szCs w:val="22"/>
                <w:lang w:val="en"/>
              </w:rPr>
            </w:pPr>
          </w:p>
        </w:tc>
        <w:tc>
          <w:tcPr>
            <w:tcW w:w="1228"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ind w:left="720" w:hanging="720"/>
              <w:jc w:val="right"/>
              <w:rPr>
                <w:rFonts w:cs="Arial"/>
                <w:sz w:val="22"/>
                <w:szCs w:val="22"/>
                <w:lang w:eastAsia="en-GB"/>
              </w:rPr>
            </w:pP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162"/>
              <w:rPr>
                <w:rStyle w:val="endsenrhsennumparatext"/>
                <w:rFonts w:cs="Arial"/>
                <w:b/>
                <w:sz w:val="22"/>
                <w:szCs w:val="22"/>
                <w:lang w:val="en"/>
              </w:rPr>
            </w:pPr>
            <w:r w:rsidRPr="006C46BE">
              <w:rPr>
                <w:rStyle w:val="endsenrhsennumparatext"/>
                <w:rFonts w:cs="Arial"/>
                <w:b/>
                <w:sz w:val="22"/>
                <w:szCs w:val="22"/>
                <w:lang w:val="en"/>
              </w:rPr>
              <w:t>Environment and Sustainability Committee</w:t>
            </w:r>
          </w:p>
        </w:tc>
        <w:tc>
          <w:tcPr>
            <w:tcW w:w="1228"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ind w:left="720" w:hanging="720"/>
              <w:jc w:val="right"/>
              <w:rPr>
                <w:rFonts w:cs="Arial"/>
                <w:sz w:val="22"/>
                <w:szCs w:val="22"/>
                <w:lang w:eastAsia="en-GB"/>
              </w:rPr>
            </w:pP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numPr>
                <w:ilvl w:val="0"/>
                <w:numId w:val="29"/>
              </w:numPr>
              <w:tabs>
                <w:tab w:val="clear" w:pos="2160"/>
                <w:tab w:val="clear" w:pos="2880"/>
                <w:tab w:val="clear" w:pos="3600"/>
                <w:tab w:val="clear" w:pos="4320"/>
                <w:tab w:val="clear" w:pos="5040"/>
                <w:tab w:val="left" w:pos="522"/>
              </w:tabs>
              <w:ind w:left="522" w:hanging="342"/>
              <w:rPr>
                <w:rFonts w:cs="Arial"/>
                <w:sz w:val="22"/>
                <w:szCs w:val="22"/>
                <w:lang w:eastAsia="en-GB"/>
              </w:rPr>
            </w:pPr>
            <w:r w:rsidRPr="006C46BE">
              <w:rPr>
                <w:rFonts w:cs="Arial"/>
                <w:sz w:val="22"/>
                <w:szCs w:val="22"/>
                <w:lang w:eastAsia="en-GB"/>
              </w:rPr>
              <w:t>Green waste – P/U – communications and computing</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5</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numPr>
                <w:ilvl w:val="0"/>
                <w:numId w:val="29"/>
              </w:numPr>
              <w:tabs>
                <w:tab w:val="clear" w:pos="2160"/>
                <w:tab w:val="clear" w:pos="2880"/>
                <w:tab w:val="clear" w:pos="3600"/>
                <w:tab w:val="clear" w:pos="4320"/>
                <w:tab w:val="clear" w:pos="5040"/>
                <w:tab w:val="left" w:pos="522"/>
              </w:tabs>
              <w:ind w:left="522" w:hanging="342"/>
              <w:rPr>
                <w:rFonts w:cs="Arial"/>
                <w:sz w:val="22"/>
                <w:szCs w:val="22"/>
                <w:lang w:eastAsia="en-GB"/>
              </w:rPr>
            </w:pPr>
            <w:r w:rsidRPr="006C46BE">
              <w:rPr>
                <w:rFonts w:cs="Arial"/>
                <w:sz w:val="22"/>
                <w:szCs w:val="22"/>
                <w:lang w:eastAsia="en-GB"/>
              </w:rPr>
              <w:t>Green waste – increased costs of interface</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5</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numPr>
                <w:ilvl w:val="0"/>
                <w:numId w:val="29"/>
              </w:numPr>
              <w:tabs>
                <w:tab w:val="clear" w:pos="2160"/>
                <w:tab w:val="clear" w:pos="2880"/>
                <w:tab w:val="clear" w:pos="3600"/>
                <w:tab w:val="clear" w:pos="4320"/>
                <w:tab w:val="clear" w:pos="5040"/>
                <w:tab w:val="left" w:pos="522"/>
              </w:tabs>
              <w:ind w:left="522" w:hanging="342"/>
              <w:rPr>
                <w:rFonts w:cs="Arial"/>
                <w:sz w:val="22"/>
                <w:szCs w:val="22"/>
                <w:lang w:eastAsia="en-GB"/>
              </w:rPr>
            </w:pPr>
            <w:r w:rsidRPr="006C46BE">
              <w:rPr>
                <w:rFonts w:cs="Arial"/>
                <w:sz w:val="22"/>
                <w:szCs w:val="22"/>
                <w:lang w:eastAsia="en-GB"/>
              </w:rPr>
              <w:t>Trade waste – income lower than anticipated</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10</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numPr>
                <w:ilvl w:val="0"/>
                <w:numId w:val="29"/>
              </w:numPr>
              <w:tabs>
                <w:tab w:val="clear" w:pos="2160"/>
                <w:tab w:val="clear" w:pos="2880"/>
                <w:tab w:val="clear" w:pos="3600"/>
                <w:tab w:val="clear" w:pos="4320"/>
                <w:tab w:val="clear" w:pos="5040"/>
                <w:tab w:val="left" w:pos="522"/>
              </w:tabs>
              <w:ind w:left="522" w:hanging="342"/>
              <w:rPr>
                <w:rFonts w:cs="Arial"/>
                <w:sz w:val="22"/>
                <w:szCs w:val="22"/>
                <w:lang w:eastAsia="en-GB"/>
              </w:rPr>
            </w:pPr>
            <w:r w:rsidRPr="006C46BE">
              <w:rPr>
                <w:rFonts w:cs="Arial"/>
                <w:sz w:val="22"/>
                <w:szCs w:val="22"/>
                <w:lang w:eastAsia="en-GB"/>
              </w:rPr>
              <w:t>Refuse – new income from school collections</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(8)</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numPr>
                <w:ilvl w:val="0"/>
                <w:numId w:val="29"/>
              </w:numPr>
              <w:tabs>
                <w:tab w:val="clear" w:pos="2160"/>
                <w:tab w:val="clear" w:pos="2880"/>
                <w:tab w:val="clear" w:pos="3600"/>
                <w:tab w:val="clear" w:pos="4320"/>
                <w:tab w:val="clear" w:pos="5040"/>
                <w:tab w:val="left" w:pos="522"/>
              </w:tabs>
              <w:ind w:left="522" w:hanging="342"/>
              <w:rPr>
                <w:rFonts w:cs="Arial"/>
                <w:sz w:val="22"/>
                <w:szCs w:val="22"/>
                <w:lang w:eastAsia="en-GB"/>
              </w:rPr>
            </w:pPr>
            <w:r w:rsidRPr="006C46BE">
              <w:rPr>
                <w:rFonts w:cs="Arial"/>
                <w:sz w:val="22"/>
                <w:szCs w:val="22"/>
                <w:lang w:eastAsia="en-GB"/>
              </w:rPr>
              <w:t>Street cleansing – In cab technology not previously budgeted for</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10</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numPr>
                <w:ilvl w:val="0"/>
                <w:numId w:val="29"/>
              </w:numPr>
              <w:tabs>
                <w:tab w:val="clear" w:pos="2160"/>
                <w:tab w:val="clear" w:pos="2880"/>
                <w:tab w:val="clear" w:pos="3600"/>
                <w:tab w:val="clear" w:pos="4320"/>
                <w:tab w:val="clear" w:pos="5040"/>
                <w:tab w:val="left" w:pos="522"/>
              </w:tabs>
              <w:ind w:left="522" w:hanging="342"/>
              <w:rPr>
                <w:rFonts w:cs="Arial"/>
                <w:sz w:val="22"/>
                <w:szCs w:val="22"/>
                <w:lang w:eastAsia="en-GB"/>
              </w:rPr>
            </w:pPr>
            <w:r w:rsidRPr="006C46BE">
              <w:rPr>
                <w:rFonts w:cs="Arial"/>
                <w:sz w:val="22"/>
                <w:szCs w:val="22"/>
                <w:lang w:eastAsia="en-GB"/>
              </w:rPr>
              <w:t>Flood mitigation – P/U - maintenance</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5</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numPr>
                <w:ilvl w:val="0"/>
                <w:numId w:val="29"/>
              </w:numPr>
              <w:tabs>
                <w:tab w:val="clear" w:pos="2160"/>
                <w:tab w:val="clear" w:pos="2880"/>
                <w:tab w:val="clear" w:pos="3600"/>
                <w:tab w:val="clear" w:pos="4320"/>
                <w:tab w:val="clear" w:pos="5040"/>
                <w:tab w:val="left" w:pos="522"/>
              </w:tabs>
              <w:ind w:left="522" w:hanging="342"/>
              <w:rPr>
                <w:rFonts w:cs="Arial"/>
                <w:sz w:val="22"/>
                <w:szCs w:val="22"/>
                <w:lang w:eastAsia="en-GB"/>
              </w:rPr>
            </w:pPr>
            <w:r w:rsidRPr="006C46BE">
              <w:rPr>
                <w:rFonts w:cs="Arial"/>
                <w:sz w:val="22"/>
                <w:szCs w:val="22"/>
                <w:lang w:eastAsia="en-GB"/>
              </w:rPr>
              <w:t>Car parks – P/U – Pay &amp; Display machines</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5</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numPr>
                <w:ilvl w:val="0"/>
                <w:numId w:val="29"/>
              </w:numPr>
              <w:tabs>
                <w:tab w:val="clear" w:pos="2160"/>
                <w:tab w:val="clear" w:pos="2880"/>
                <w:tab w:val="clear" w:pos="3600"/>
                <w:tab w:val="clear" w:pos="4320"/>
                <w:tab w:val="clear" w:pos="5040"/>
                <w:tab w:val="left" w:pos="522"/>
              </w:tabs>
              <w:ind w:left="522" w:hanging="342"/>
              <w:rPr>
                <w:rFonts w:cs="Arial"/>
                <w:sz w:val="22"/>
                <w:szCs w:val="22"/>
                <w:lang w:eastAsia="en-GB"/>
              </w:rPr>
            </w:pPr>
            <w:r w:rsidRPr="006C46BE">
              <w:rPr>
                <w:rFonts w:cs="Arial"/>
                <w:sz w:val="22"/>
                <w:szCs w:val="22"/>
                <w:lang w:eastAsia="en-GB"/>
              </w:rPr>
              <w:lastRenderedPageBreak/>
              <w:t>Car parks – P&amp;D income higher than anticipated</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(10)</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numPr>
                <w:ilvl w:val="0"/>
                <w:numId w:val="29"/>
              </w:numPr>
              <w:tabs>
                <w:tab w:val="clear" w:pos="2160"/>
                <w:tab w:val="clear" w:pos="2880"/>
                <w:tab w:val="clear" w:pos="3600"/>
                <w:tab w:val="clear" w:pos="4320"/>
                <w:tab w:val="clear" w:pos="5040"/>
                <w:tab w:val="left" w:pos="522"/>
              </w:tabs>
              <w:ind w:left="522" w:hanging="342"/>
              <w:rPr>
                <w:rFonts w:cs="Arial"/>
                <w:sz w:val="22"/>
                <w:szCs w:val="22"/>
                <w:lang w:eastAsia="en-GB"/>
              </w:rPr>
            </w:pPr>
            <w:r w:rsidRPr="006C46BE">
              <w:rPr>
                <w:rFonts w:cs="Arial"/>
                <w:sz w:val="22"/>
                <w:szCs w:val="22"/>
                <w:lang w:eastAsia="en-GB"/>
              </w:rPr>
              <w:t>Car parks – P&amp;D income in Egham reinstated</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(23)</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tabs>
                <w:tab w:val="left" w:pos="522"/>
              </w:tabs>
              <w:ind w:left="162"/>
              <w:rPr>
                <w:rStyle w:val="endsenrhsennumparatext"/>
                <w:rFonts w:cs="Arial"/>
                <w:sz w:val="22"/>
                <w:szCs w:val="22"/>
                <w:lang w:val="en"/>
              </w:rPr>
            </w:pPr>
          </w:p>
        </w:tc>
        <w:tc>
          <w:tcPr>
            <w:tcW w:w="1228"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ind w:left="720" w:hanging="720"/>
              <w:jc w:val="right"/>
              <w:rPr>
                <w:rFonts w:cs="Arial"/>
                <w:sz w:val="22"/>
                <w:szCs w:val="22"/>
                <w:lang w:eastAsia="en-GB"/>
              </w:rPr>
            </w:pP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162"/>
              <w:rPr>
                <w:rStyle w:val="endsenrhsennumparatext"/>
                <w:rFonts w:cs="Arial"/>
                <w:b/>
                <w:sz w:val="22"/>
                <w:szCs w:val="22"/>
                <w:lang w:val="en"/>
              </w:rPr>
            </w:pPr>
            <w:r w:rsidRPr="006C46BE">
              <w:rPr>
                <w:rStyle w:val="endsenrhsennumparatext"/>
                <w:rFonts w:cs="Arial"/>
                <w:b/>
                <w:sz w:val="22"/>
                <w:szCs w:val="22"/>
                <w:lang w:val="en"/>
              </w:rPr>
              <w:t>Planning Services</w:t>
            </w:r>
          </w:p>
        </w:tc>
        <w:tc>
          <w:tcPr>
            <w:tcW w:w="1228"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ind w:left="720" w:hanging="720"/>
              <w:jc w:val="right"/>
              <w:rPr>
                <w:rFonts w:cs="Arial"/>
                <w:b/>
                <w:sz w:val="22"/>
                <w:szCs w:val="22"/>
                <w:lang w:eastAsia="en-GB"/>
              </w:rPr>
            </w:pP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pStyle w:val="ListParagraph"/>
              <w:numPr>
                <w:ilvl w:val="0"/>
                <w:numId w:val="28"/>
              </w:numPr>
              <w:tabs>
                <w:tab w:val="left" w:pos="522"/>
              </w:tabs>
              <w:spacing w:after="0" w:line="240" w:lineRule="auto"/>
              <w:rPr>
                <w:rFonts w:ascii="Arial" w:hAnsi="Arial" w:cs="Arial"/>
                <w:lang w:eastAsia="en-GB"/>
              </w:rPr>
            </w:pPr>
            <w:r w:rsidRPr="006C46BE">
              <w:rPr>
                <w:rFonts w:ascii="Arial" w:hAnsi="Arial" w:cs="Arial"/>
                <w:lang w:eastAsia="en-GB"/>
              </w:rPr>
              <w:t>Planning General - Garden Village Grant (received in 17/18 c/</w:t>
            </w:r>
            <w:proofErr w:type="spellStart"/>
            <w:r w:rsidRPr="006C46BE">
              <w:rPr>
                <w:rFonts w:ascii="Arial" w:hAnsi="Arial" w:cs="Arial"/>
                <w:lang w:eastAsia="en-GB"/>
              </w:rPr>
              <w:t>fwd</w:t>
            </w:r>
            <w:proofErr w:type="spellEnd"/>
            <w:r w:rsidRPr="006C46BE">
              <w:rPr>
                <w:rFonts w:ascii="Arial" w:hAnsi="Arial" w:cs="Arial"/>
                <w:lang w:eastAsia="en-GB"/>
              </w:rPr>
              <w:t xml:space="preserve"> as P/U)</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229</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pStyle w:val="ListParagraph"/>
              <w:numPr>
                <w:ilvl w:val="0"/>
                <w:numId w:val="28"/>
              </w:numPr>
              <w:spacing w:after="0" w:line="240" w:lineRule="auto"/>
              <w:rPr>
                <w:rFonts w:ascii="Arial" w:hAnsi="Arial" w:cs="Arial"/>
              </w:rPr>
            </w:pPr>
            <w:r w:rsidRPr="006C46BE">
              <w:rPr>
                <w:rFonts w:ascii="Arial" w:hAnsi="Arial" w:cs="Arial"/>
              </w:rPr>
              <w:t>Planning Policy - Local Plan Infrastructure Need Assessments (CMC 30/3/17)</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20</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pStyle w:val="ListParagraph"/>
              <w:numPr>
                <w:ilvl w:val="0"/>
                <w:numId w:val="28"/>
              </w:numPr>
              <w:spacing w:after="0" w:line="240" w:lineRule="auto"/>
              <w:rPr>
                <w:rFonts w:ascii="Arial" w:hAnsi="Arial" w:cs="Arial"/>
              </w:rPr>
            </w:pPr>
            <w:r w:rsidRPr="006C46BE">
              <w:rPr>
                <w:rFonts w:ascii="Arial" w:hAnsi="Arial" w:cs="Arial"/>
              </w:rPr>
              <w:t>Planning Policy - Playing Pitch Strategy (SO42 31/3/17)</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15</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pStyle w:val="ListParagraph"/>
              <w:numPr>
                <w:ilvl w:val="0"/>
                <w:numId w:val="28"/>
              </w:numPr>
              <w:spacing w:after="0" w:line="240" w:lineRule="auto"/>
              <w:rPr>
                <w:rFonts w:ascii="Arial" w:hAnsi="Arial" w:cs="Arial"/>
              </w:rPr>
            </w:pPr>
            <w:r w:rsidRPr="006C46BE">
              <w:rPr>
                <w:rFonts w:ascii="Arial" w:hAnsi="Arial" w:cs="Arial"/>
              </w:rPr>
              <w:t>Planning Policy – P/U Local Plan</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50</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pStyle w:val="ListParagraph"/>
              <w:numPr>
                <w:ilvl w:val="0"/>
                <w:numId w:val="28"/>
              </w:numPr>
              <w:spacing w:after="0" w:line="240" w:lineRule="auto"/>
              <w:rPr>
                <w:rFonts w:ascii="Arial" w:hAnsi="Arial" w:cs="Arial"/>
              </w:rPr>
            </w:pPr>
            <w:proofErr w:type="spellStart"/>
            <w:r w:rsidRPr="006C46BE">
              <w:rPr>
                <w:rFonts w:ascii="Arial" w:hAnsi="Arial" w:cs="Arial"/>
              </w:rPr>
              <w:t>Adas</w:t>
            </w:r>
            <w:proofErr w:type="spellEnd"/>
            <w:r w:rsidRPr="006C46BE">
              <w:rPr>
                <w:rFonts w:ascii="Arial" w:hAnsi="Arial" w:cs="Arial"/>
              </w:rPr>
              <w:t xml:space="preserve"> Farm – Potential costs recognised to date</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25</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tabs>
                <w:tab w:val="left" w:pos="522"/>
              </w:tabs>
              <w:ind w:left="522"/>
              <w:rPr>
                <w:rFonts w:cs="Arial"/>
                <w:sz w:val="22"/>
                <w:szCs w:val="22"/>
                <w:lang w:eastAsia="en-GB"/>
              </w:rPr>
            </w:pPr>
          </w:p>
        </w:tc>
        <w:tc>
          <w:tcPr>
            <w:tcW w:w="1228"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ind w:left="720" w:hanging="720"/>
              <w:jc w:val="right"/>
              <w:rPr>
                <w:rFonts w:cs="Arial"/>
                <w:sz w:val="22"/>
                <w:szCs w:val="22"/>
                <w:lang w:eastAsia="en-GB"/>
              </w:rPr>
            </w:pP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162"/>
              <w:rPr>
                <w:rStyle w:val="endsenrhsennumparatext"/>
                <w:rFonts w:cs="Arial"/>
                <w:b/>
                <w:sz w:val="22"/>
                <w:szCs w:val="22"/>
                <w:lang w:val="en"/>
              </w:rPr>
            </w:pPr>
            <w:r w:rsidRPr="006C46BE">
              <w:rPr>
                <w:rStyle w:val="endsenrhsennumparatext"/>
                <w:rFonts w:cs="Arial"/>
                <w:b/>
                <w:sz w:val="22"/>
                <w:szCs w:val="22"/>
                <w:lang w:val="en"/>
              </w:rPr>
              <w:t>Corporate Management Committee - Corporate Management</w:t>
            </w:r>
          </w:p>
        </w:tc>
        <w:tc>
          <w:tcPr>
            <w:tcW w:w="1228"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ind w:left="720" w:hanging="720"/>
              <w:jc w:val="right"/>
              <w:rPr>
                <w:rFonts w:cs="Arial"/>
                <w:b/>
                <w:sz w:val="22"/>
                <w:szCs w:val="22"/>
                <w:lang w:eastAsia="en-GB"/>
              </w:rPr>
            </w:pP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rsidP="00223A6F">
            <w:pPr>
              <w:pStyle w:val="ListParagraph"/>
              <w:numPr>
                <w:ilvl w:val="0"/>
                <w:numId w:val="28"/>
              </w:numPr>
              <w:spacing w:after="0" w:line="240" w:lineRule="auto"/>
              <w:ind w:left="590" w:hanging="425"/>
              <w:rPr>
                <w:rStyle w:val="endsenrhsennumparatext"/>
                <w:rFonts w:ascii="Arial" w:hAnsi="Arial" w:cs="Arial"/>
                <w:lang w:val="en"/>
              </w:rPr>
            </w:pPr>
            <w:r w:rsidRPr="006C46BE">
              <w:rPr>
                <w:rStyle w:val="endsenrhsennumparatext"/>
                <w:rFonts w:ascii="Arial" w:hAnsi="Arial" w:cs="Arial"/>
                <w:lang w:val="en"/>
              </w:rPr>
              <w:t>Corporate - P/U – Economic Development Strategy</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22"/>
              <w:jc w:val="right"/>
              <w:rPr>
                <w:rFonts w:cs="Arial"/>
                <w:sz w:val="22"/>
                <w:szCs w:val="22"/>
                <w:lang w:eastAsia="en-GB"/>
              </w:rPr>
            </w:pPr>
            <w:r w:rsidRPr="006C46BE">
              <w:rPr>
                <w:rFonts w:cs="Arial"/>
                <w:sz w:val="22"/>
                <w:szCs w:val="22"/>
                <w:lang w:eastAsia="en-GB"/>
              </w:rPr>
              <w:t>9</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rsidP="00223A6F">
            <w:pPr>
              <w:pStyle w:val="ListParagraph"/>
              <w:numPr>
                <w:ilvl w:val="0"/>
                <w:numId w:val="28"/>
              </w:numPr>
              <w:spacing w:after="0" w:line="240" w:lineRule="auto"/>
              <w:ind w:left="590" w:hanging="425"/>
              <w:rPr>
                <w:rStyle w:val="endsenrhsennumparatext"/>
                <w:rFonts w:ascii="Arial" w:hAnsi="Arial" w:cs="Arial"/>
                <w:lang w:val="en"/>
              </w:rPr>
            </w:pPr>
            <w:r w:rsidRPr="006C46BE">
              <w:rPr>
                <w:rStyle w:val="endsenrhsennumparatext"/>
                <w:rFonts w:ascii="Arial" w:hAnsi="Arial" w:cs="Arial"/>
                <w:lang w:val="en"/>
              </w:rPr>
              <w:t>Corporate – P/U - Runnymede Pleasure Ground</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22"/>
              <w:jc w:val="right"/>
              <w:rPr>
                <w:rFonts w:cs="Arial"/>
                <w:sz w:val="22"/>
                <w:szCs w:val="22"/>
                <w:lang w:eastAsia="en-GB"/>
              </w:rPr>
            </w:pPr>
            <w:r w:rsidRPr="006C46BE">
              <w:rPr>
                <w:rFonts w:cs="Arial"/>
                <w:sz w:val="22"/>
                <w:szCs w:val="22"/>
                <w:lang w:eastAsia="en-GB"/>
              </w:rPr>
              <w:t>5</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rsidP="00223A6F">
            <w:pPr>
              <w:pStyle w:val="ListParagraph"/>
              <w:numPr>
                <w:ilvl w:val="0"/>
                <w:numId w:val="28"/>
              </w:numPr>
              <w:spacing w:after="0" w:line="240" w:lineRule="auto"/>
              <w:ind w:left="590" w:hanging="425"/>
              <w:rPr>
                <w:rStyle w:val="endsenrhsennumparatext"/>
                <w:rFonts w:ascii="Arial" w:hAnsi="Arial" w:cs="Arial"/>
                <w:lang w:val="en"/>
              </w:rPr>
            </w:pPr>
            <w:r w:rsidRPr="006C46BE">
              <w:rPr>
                <w:rStyle w:val="endsenrhsennumparatext"/>
                <w:rFonts w:ascii="Arial" w:hAnsi="Arial" w:cs="Arial"/>
                <w:lang w:val="en"/>
              </w:rPr>
              <w:t xml:space="preserve">Public Accountability – P/U -  Enterprise Zone </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22"/>
              <w:jc w:val="right"/>
              <w:rPr>
                <w:rFonts w:cs="Arial"/>
                <w:sz w:val="22"/>
                <w:szCs w:val="22"/>
                <w:lang w:eastAsia="en-GB"/>
              </w:rPr>
            </w:pPr>
            <w:r w:rsidRPr="006C46BE">
              <w:rPr>
                <w:rFonts w:cs="Arial"/>
                <w:sz w:val="22"/>
                <w:szCs w:val="22"/>
                <w:lang w:eastAsia="en-GB"/>
              </w:rPr>
              <w:t>19</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tcPr>
          <w:p w:rsidR="00223A6F" w:rsidRPr="006C46BE" w:rsidRDefault="00223A6F">
            <w:pPr>
              <w:pStyle w:val="ListParagraph"/>
              <w:ind w:left="590"/>
              <w:rPr>
                <w:rStyle w:val="endsenrhsennumparatext"/>
                <w:rFonts w:ascii="Arial" w:hAnsi="Arial" w:cs="Arial"/>
                <w:lang w:val="en"/>
              </w:rPr>
            </w:pPr>
          </w:p>
        </w:tc>
        <w:tc>
          <w:tcPr>
            <w:tcW w:w="1228"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tabs>
                <w:tab w:val="left" w:pos="522"/>
              </w:tabs>
              <w:ind w:left="522"/>
              <w:jc w:val="right"/>
              <w:rPr>
                <w:rFonts w:cs="Arial"/>
                <w:sz w:val="22"/>
                <w:szCs w:val="22"/>
                <w:lang w:eastAsia="en-GB"/>
              </w:rPr>
            </w:pP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pPr>
              <w:pStyle w:val="ListParagraph"/>
              <w:ind w:left="165"/>
              <w:rPr>
                <w:rStyle w:val="endsenrhsennumparatext"/>
                <w:rFonts w:ascii="Arial" w:hAnsi="Arial" w:cs="Arial"/>
                <w:b/>
                <w:lang w:val="en"/>
              </w:rPr>
            </w:pPr>
            <w:r w:rsidRPr="006C46BE">
              <w:rPr>
                <w:rStyle w:val="endsenrhsennumparatext"/>
                <w:rFonts w:ascii="Arial" w:hAnsi="Arial" w:cs="Arial"/>
                <w:b/>
                <w:lang w:val="en"/>
              </w:rPr>
              <w:t>Corporate Management Committee - Other</w:t>
            </w:r>
          </w:p>
        </w:tc>
        <w:tc>
          <w:tcPr>
            <w:tcW w:w="1228"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tabs>
                <w:tab w:val="left" w:pos="522"/>
              </w:tabs>
              <w:ind w:left="522"/>
              <w:jc w:val="right"/>
              <w:rPr>
                <w:rFonts w:cs="Arial"/>
                <w:sz w:val="22"/>
                <w:szCs w:val="22"/>
                <w:lang w:eastAsia="en-GB"/>
              </w:rPr>
            </w:pP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rsidP="00223A6F">
            <w:pPr>
              <w:pStyle w:val="ListParagraph"/>
              <w:numPr>
                <w:ilvl w:val="0"/>
                <w:numId w:val="28"/>
              </w:numPr>
              <w:spacing w:after="0" w:line="240" w:lineRule="auto"/>
              <w:ind w:left="590" w:hanging="425"/>
              <w:rPr>
                <w:rStyle w:val="endsenrhsennumparatext"/>
                <w:rFonts w:ascii="Arial" w:hAnsi="Arial" w:cs="Arial"/>
                <w:lang w:val="en"/>
              </w:rPr>
            </w:pPr>
            <w:r w:rsidRPr="006C46BE">
              <w:rPr>
                <w:rStyle w:val="endsenrhsennumparatext"/>
                <w:rFonts w:ascii="Arial" w:hAnsi="Arial" w:cs="Arial"/>
                <w:lang w:val="en"/>
              </w:rPr>
              <w:t>Elections – extension of temporary staffing (CMC March 2017)</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22"/>
              <w:jc w:val="right"/>
              <w:rPr>
                <w:rFonts w:cs="Arial"/>
                <w:sz w:val="22"/>
                <w:szCs w:val="22"/>
                <w:lang w:eastAsia="en-GB"/>
              </w:rPr>
            </w:pPr>
            <w:r w:rsidRPr="006C46BE">
              <w:rPr>
                <w:rFonts w:cs="Arial"/>
                <w:sz w:val="22"/>
                <w:szCs w:val="22"/>
                <w:lang w:eastAsia="en-GB"/>
              </w:rPr>
              <w:t>27</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rsidP="00223A6F">
            <w:pPr>
              <w:pStyle w:val="ListParagraph"/>
              <w:numPr>
                <w:ilvl w:val="0"/>
                <w:numId w:val="28"/>
              </w:numPr>
              <w:spacing w:after="0" w:line="240" w:lineRule="auto"/>
              <w:ind w:left="590" w:hanging="425"/>
              <w:rPr>
                <w:rStyle w:val="endsenrhsennumparatext"/>
                <w:rFonts w:ascii="Arial" w:hAnsi="Arial" w:cs="Arial"/>
                <w:lang w:val="en"/>
              </w:rPr>
            </w:pPr>
            <w:r w:rsidRPr="006C46BE">
              <w:rPr>
                <w:rStyle w:val="endsenrhsennumparatext"/>
                <w:rFonts w:ascii="Arial" w:hAnsi="Arial" w:cs="Arial"/>
                <w:lang w:val="en"/>
              </w:rPr>
              <w:t>Civic Centre – increased Business Rates</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22"/>
              <w:jc w:val="right"/>
              <w:rPr>
                <w:rFonts w:cs="Arial"/>
                <w:sz w:val="22"/>
                <w:szCs w:val="22"/>
                <w:highlight w:val="yellow"/>
                <w:lang w:eastAsia="en-GB"/>
              </w:rPr>
            </w:pPr>
            <w:r w:rsidRPr="006C46BE">
              <w:rPr>
                <w:rFonts w:cs="Arial"/>
                <w:sz w:val="22"/>
                <w:szCs w:val="22"/>
                <w:lang w:eastAsia="en-GB"/>
              </w:rPr>
              <w:t>103</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rsidP="00223A6F">
            <w:pPr>
              <w:pStyle w:val="ListParagraph"/>
              <w:numPr>
                <w:ilvl w:val="0"/>
                <w:numId w:val="28"/>
              </w:numPr>
              <w:spacing w:after="0" w:line="240" w:lineRule="auto"/>
              <w:ind w:left="590" w:hanging="425"/>
              <w:rPr>
                <w:rStyle w:val="endsenrhsennumparatext"/>
                <w:rFonts w:ascii="Arial" w:hAnsi="Arial" w:cs="Arial"/>
                <w:lang w:val="en"/>
              </w:rPr>
            </w:pPr>
            <w:r w:rsidRPr="006C46BE">
              <w:rPr>
                <w:rStyle w:val="endsenrhsennumparatext"/>
                <w:rFonts w:ascii="Arial" w:hAnsi="Arial" w:cs="Arial"/>
                <w:lang w:val="en"/>
              </w:rPr>
              <w:t>Depot – P/U – strategic maintenance and fuel pump renewal</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22"/>
              <w:jc w:val="right"/>
              <w:rPr>
                <w:rFonts w:cs="Arial"/>
                <w:sz w:val="22"/>
                <w:szCs w:val="22"/>
                <w:lang w:eastAsia="en-GB"/>
              </w:rPr>
            </w:pPr>
            <w:r w:rsidRPr="006C46BE">
              <w:rPr>
                <w:rFonts w:cs="Arial"/>
                <w:sz w:val="22"/>
                <w:szCs w:val="22"/>
                <w:lang w:eastAsia="en-GB"/>
              </w:rPr>
              <w:t>8</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381F0C" w:rsidRPr="00381F0C" w:rsidRDefault="00223A6F" w:rsidP="009F1077">
            <w:pPr>
              <w:pStyle w:val="ListParagraph"/>
              <w:numPr>
                <w:ilvl w:val="0"/>
                <w:numId w:val="28"/>
              </w:numPr>
              <w:spacing w:after="0" w:line="240" w:lineRule="auto"/>
              <w:ind w:left="590" w:hanging="425"/>
              <w:rPr>
                <w:rStyle w:val="endsenrhsennumparatext"/>
                <w:rFonts w:cs="Arial"/>
                <w:lang w:val="en"/>
              </w:rPr>
            </w:pPr>
            <w:r w:rsidRPr="006C46BE">
              <w:rPr>
                <w:rStyle w:val="endsenrhsennumparatext"/>
                <w:rFonts w:ascii="Arial" w:hAnsi="Arial" w:cs="Arial"/>
                <w:lang w:val="en"/>
              </w:rPr>
              <w:t xml:space="preserve">Depot – building maintenance provision required </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22"/>
              <w:jc w:val="right"/>
              <w:rPr>
                <w:rFonts w:cs="Arial"/>
                <w:sz w:val="22"/>
                <w:szCs w:val="22"/>
                <w:lang w:eastAsia="en-GB"/>
              </w:rPr>
            </w:pPr>
            <w:r w:rsidRPr="006C46BE">
              <w:rPr>
                <w:rFonts w:cs="Arial"/>
                <w:sz w:val="22"/>
                <w:szCs w:val="22"/>
                <w:lang w:eastAsia="en-GB"/>
              </w:rPr>
              <w:t>12</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rsidP="00223A6F">
            <w:pPr>
              <w:pStyle w:val="ListParagraph"/>
              <w:numPr>
                <w:ilvl w:val="0"/>
                <w:numId w:val="28"/>
              </w:numPr>
              <w:spacing w:after="0" w:line="240" w:lineRule="auto"/>
              <w:ind w:left="590" w:hanging="425"/>
              <w:rPr>
                <w:rStyle w:val="endsenrhsennumparatext"/>
                <w:rFonts w:ascii="Arial" w:hAnsi="Arial" w:cs="Arial"/>
                <w:lang w:val="en"/>
              </w:rPr>
            </w:pPr>
            <w:r w:rsidRPr="006C46BE">
              <w:rPr>
                <w:rStyle w:val="endsenrhsennumparatext"/>
                <w:rFonts w:ascii="Arial" w:hAnsi="Arial" w:cs="Arial"/>
                <w:lang w:val="en"/>
              </w:rPr>
              <w:t>Salaries – Apprenticeship costs (CMC June 2017)</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22"/>
              <w:jc w:val="right"/>
              <w:rPr>
                <w:rFonts w:cs="Arial"/>
                <w:sz w:val="22"/>
                <w:szCs w:val="22"/>
                <w:lang w:eastAsia="en-GB"/>
              </w:rPr>
            </w:pPr>
            <w:r w:rsidRPr="006C46BE">
              <w:rPr>
                <w:rFonts w:cs="Arial"/>
                <w:sz w:val="22"/>
                <w:szCs w:val="22"/>
                <w:lang w:eastAsia="en-GB"/>
              </w:rPr>
              <w:t>49</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rsidP="00223A6F">
            <w:pPr>
              <w:pStyle w:val="ListParagraph"/>
              <w:numPr>
                <w:ilvl w:val="0"/>
                <w:numId w:val="28"/>
              </w:numPr>
              <w:spacing w:after="0" w:line="240" w:lineRule="auto"/>
              <w:ind w:left="590" w:hanging="425"/>
              <w:rPr>
                <w:rStyle w:val="endsenrhsennumparatext"/>
                <w:rFonts w:ascii="Arial" w:hAnsi="Arial" w:cs="Arial"/>
                <w:lang w:val="en"/>
              </w:rPr>
            </w:pPr>
            <w:r w:rsidRPr="006C46BE">
              <w:rPr>
                <w:rStyle w:val="endsenrhsennumparatext"/>
                <w:rFonts w:ascii="Arial" w:hAnsi="Arial" w:cs="Arial"/>
                <w:lang w:val="en"/>
              </w:rPr>
              <w:t>Financial services - P/U - VAT review delayed due to staff vacancies</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22"/>
              <w:jc w:val="right"/>
              <w:rPr>
                <w:rFonts w:cs="Arial"/>
                <w:sz w:val="22"/>
                <w:szCs w:val="22"/>
                <w:lang w:eastAsia="en-GB"/>
              </w:rPr>
            </w:pPr>
            <w:r w:rsidRPr="006C46BE">
              <w:rPr>
                <w:rFonts w:cs="Arial"/>
                <w:sz w:val="22"/>
                <w:szCs w:val="22"/>
                <w:lang w:eastAsia="en-GB"/>
              </w:rPr>
              <w:t>16</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rsidP="00223A6F">
            <w:pPr>
              <w:pStyle w:val="ListParagraph"/>
              <w:numPr>
                <w:ilvl w:val="0"/>
                <w:numId w:val="28"/>
              </w:numPr>
              <w:spacing w:after="0" w:line="240" w:lineRule="auto"/>
              <w:ind w:left="590" w:hanging="425"/>
              <w:rPr>
                <w:rStyle w:val="endsenrhsennumparatext"/>
                <w:rFonts w:ascii="Arial" w:hAnsi="Arial" w:cs="Arial"/>
                <w:lang w:val="en"/>
              </w:rPr>
            </w:pPr>
            <w:r w:rsidRPr="006C46BE">
              <w:rPr>
                <w:rStyle w:val="endsenrhsennumparatext"/>
                <w:rFonts w:ascii="Arial" w:hAnsi="Arial" w:cs="Arial"/>
                <w:lang w:val="en"/>
              </w:rPr>
              <w:t>Runnymede web – computer maintenance support not previously budgeted for in current year</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22"/>
              <w:jc w:val="right"/>
              <w:rPr>
                <w:rFonts w:cs="Arial"/>
                <w:sz w:val="22"/>
                <w:szCs w:val="22"/>
                <w:lang w:eastAsia="en-GB"/>
              </w:rPr>
            </w:pPr>
            <w:r w:rsidRPr="006C46BE">
              <w:rPr>
                <w:rFonts w:cs="Arial"/>
                <w:sz w:val="22"/>
                <w:szCs w:val="22"/>
                <w:lang w:eastAsia="en-GB"/>
              </w:rPr>
              <w:t>6</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rsidP="00223A6F">
            <w:pPr>
              <w:pStyle w:val="ListParagraph"/>
              <w:numPr>
                <w:ilvl w:val="0"/>
                <w:numId w:val="28"/>
              </w:numPr>
              <w:spacing w:after="0" w:line="240" w:lineRule="auto"/>
              <w:ind w:left="590" w:hanging="425"/>
              <w:rPr>
                <w:rStyle w:val="endsenrhsennumparatext"/>
                <w:rFonts w:ascii="Arial" w:hAnsi="Arial" w:cs="Arial"/>
                <w:lang w:val="en"/>
              </w:rPr>
            </w:pPr>
            <w:r w:rsidRPr="006C46BE">
              <w:rPr>
                <w:rStyle w:val="endsenrhsennumparatext"/>
                <w:rFonts w:ascii="Arial" w:hAnsi="Arial" w:cs="Arial"/>
                <w:lang w:val="en"/>
              </w:rPr>
              <w:t xml:space="preserve">Customer services – </w:t>
            </w:r>
            <w:proofErr w:type="spellStart"/>
            <w:r w:rsidRPr="006C46BE">
              <w:rPr>
                <w:rStyle w:val="endsenrhsennumparatext"/>
                <w:rFonts w:ascii="Arial" w:hAnsi="Arial" w:cs="Arial"/>
                <w:lang w:val="en"/>
              </w:rPr>
              <w:t>reorganisational</w:t>
            </w:r>
            <w:proofErr w:type="spellEnd"/>
            <w:r w:rsidRPr="006C46BE">
              <w:rPr>
                <w:rStyle w:val="endsenrhsennumparatext"/>
                <w:rFonts w:ascii="Arial" w:hAnsi="Arial" w:cs="Arial"/>
                <w:lang w:val="en"/>
              </w:rPr>
              <w:t xml:space="preserve"> restructure</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22"/>
              <w:jc w:val="right"/>
              <w:rPr>
                <w:rFonts w:cs="Arial"/>
                <w:sz w:val="22"/>
                <w:szCs w:val="22"/>
                <w:lang w:eastAsia="en-GB"/>
              </w:rPr>
            </w:pPr>
            <w:r w:rsidRPr="006C46BE">
              <w:rPr>
                <w:rFonts w:cs="Arial"/>
                <w:sz w:val="22"/>
                <w:szCs w:val="22"/>
                <w:lang w:eastAsia="en-GB"/>
              </w:rPr>
              <w:t>276</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rsidP="00223A6F">
            <w:pPr>
              <w:pStyle w:val="ListParagraph"/>
              <w:numPr>
                <w:ilvl w:val="0"/>
                <w:numId w:val="28"/>
              </w:numPr>
              <w:spacing w:after="0" w:line="240" w:lineRule="auto"/>
              <w:ind w:left="590" w:hanging="425"/>
              <w:rPr>
                <w:rStyle w:val="endsenrhsennumparatext"/>
                <w:rFonts w:ascii="Arial" w:hAnsi="Arial" w:cs="Arial"/>
                <w:lang w:val="en"/>
              </w:rPr>
            </w:pPr>
            <w:r w:rsidRPr="006C46BE">
              <w:rPr>
                <w:rStyle w:val="endsenrhsennumparatext"/>
                <w:rFonts w:ascii="Arial" w:hAnsi="Arial" w:cs="Arial"/>
                <w:lang w:val="en"/>
              </w:rPr>
              <w:t>Customer services – additional provisions required (CMC July 2017)</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22"/>
              <w:jc w:val="right"/>
              <w:rPr>
                <w:rFonts w:cs="Arial"/>
                <w:sz w:val="22"/>
                <w:szCs w:val="22"/>
                <w:lang w:eastAsia="en-GB"/>
              </w:rPr>
            </w:pPr>
            <w:r w:rsidRPr="006C46BE">
              <w:rPr>
                <w:rFonts w:cs="Arial"/>
                <w:sz w:val="22"/>
                <w:szCs w:val="22"/>
                <w:lang w:eastAsia="en-GB"/>
              </w:rPr>
              <w:t>33</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rsidP="00223A6F">
            <w:pPr>
              <w:pStyle w:val="ListParagraph"/>
              <w:numPr>
                <w:ilvl w:val="0"/>
                <w:numId w:val="28"/>
              </w:numPr>
              <w:spacing w:after="0" w:line="240" w:lineRule="auto"/>
              <w:ind w:left="590" w:hanging="425"/>
              <w:rPr>
                <w:rStyle w:val="endsenrhsennumparatext"/>
                <w:rFonts w:ascii="Arial" w:hAnsi="Arial" w:cs="Arial"/>
                <w:lang w:val="en"/>
              </w:rPr>
            </w:pPr>
            <w:r w:rsidRPr="006C46BE">
              <w:rPr>
                <w:rStyle w:val="endsenrhsennumparatext"/>
                <w:rFonts w:ascii="Arial" w:hAnsi="Arial" w:cs="Arial"/>
                <w:lang w:val="en"/>
              </w:rPr>
              <w:t>Law &amp; governance – additional staffing (SO42 Dec 2016)</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22"/>
              <w:jc w:val="right"/>
              <w:rPr>
                <w:rFonts w:cs="Arial"/>
                <w:sz w:val="22"/>
                <w:szCs w:val="22"/>
                <w:lang w:eastAsia="en-GB"/>
              </w:rPr>
            </w:pPr>
            <w:r w:rsidRPr="006C46BE">
              <w:rPr>
                <w:rFonts w:cs="Arial"/>
                <w:sz w:val="22"/>
                <w:szCs w:val="22"/>
                <w:lang w:eastAsia="en-GB"/>
              </w:rPr>
              <w:t>46</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shd w:val="pct10" w:color="auto" w:fill="auto"/>
            <w:noWrap/>
            <w:vAlign w:val="bottom"/>
            <w:hideMark/>
          </w:tcPr>
          <w:p w:rsidR="00223A6F" w:rsidRPr="006C46BE" w:rsidRDefault="00223A6F">
            <w:pPr>
              <w:tabs>
                <w:tab w:val="left" w:pos="522"/>
              </w:tabs>
              <w:rPr>
                <w:rStyle w:val="endsenrhsennumparatext"/>
                <w:rFonts w:cs="Arial"/>
                <w:b/>
                <w:sz w:val="22"/>
                <w:szCs w:val="22"/>
                <w:lang w:val="en"/>
              </w:rPr>
            </w:pPr>
            <w:r w:rsidRPr="006C46BE">
              <w:rPr>
                <w:rStyle w:val="endsenrhsennumparatext"/>
                <w:rFonts w:cs="Arial"/>
                <w:b/>
                <w:sz w:val="22"/>
                <w:szCs w:val="22"/>
                <w:lang w:val="en"/>
              </w:rPr>
              <w:t>Sub Total – General Fund net growth (Excluding Commercial Property)</w:t>
            </w:r>
          </w:p>
        </w:tc>
        <w:tc>
          <w:tcPr>
            <w:tcW w:w="1228" w:type="dxa"/>
            <w:tcBorders>
              <w:top w:val="single" w:sz="4" w:space="0" w:color="auto"/>
              <w:left w:val="dotted" w:sz="4" w:space="0" w:color="auto"/>
              <w:bottom w:val="single" w:sz="4" w:space="0" w:color="auto"/>
              <w:right w:val="dotted" w:sz="4" w:space="0" w:color="auto"/>
            </w:tcBorders>
            <w:shd w:val="pct10" w:color="auto" w:fill="auto"/>
            <w:noWrap/>
            <w:vAlign w:val="bottom"/>
            <w:hideMark/>
          </w:tcPr>
          <w:p w:rsidR="00223A6F" w:rsidRPr="006C46BE" w:rsidRDefault="00223A6F">
            <w:pPr>
              <w:ind w:left="720" w:hanging="720"/>
              <w:jc w:val="right"/>
              <w:rPr>
                <w:rFonts w:cs="Arial"/>
                <w:b/>
                <w:sz w:val="22"/>
                <w:szCs w:val="22"/>
                <w:lang w:eastAsia="en-GB"/>
              </w:rPr>
            </w:pPr>
            <w:r w:rsidRPr="006C46BE">
              <w:rPr>
                <w:rFonts w:cs="Arial"/>
                <w:b/>
                <w:sz w:val="22"/>
                <w:szCs w:val="22"/>
                <w:lang w:eastAsia="en-GB"/>
              </w:rPr>
              <w:t>1,240</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tabs>
                <w:tab w:val="left" w:pos="522"/>
              </w:tabs>
              <w:ind w:left="162"/>
              <w:rPr>
                <w:rStyle w:val="endsenrhsennumparatext"/>
                <w:rFonts w:cs="Arial"/>
                <w:sz w:val="22"/>
                <w:szCs w:val="22"/>
                <w:lang w:val="en"/>
              </w:rPr>
            </w:pPr>
          </w:p>
        </w:tc>
        <w:tc>
          <w:tcPr>
            <w:tcW w:w="1228" w:type="dxa"/>
            <w:tcBorders>
              <w:top w:val="single" w:sz="4" w:space="0" w:color="auto"/>
              <w:left w:val="dotted" w:sz="4" w:space="0" w:color="auto"/>
              <w:bottom w:val="dotted" w:sz="4" w:space="0" w:color="auto"/>
              <w:right w:val="dotted" w:sz="4" w:space="0" w:color="auto"/>
            </w:tcBorders>
            <w:noWrap/>
            <w:vAlign w:val="bottom"/>
          </w:tcPr>
          <w:p w:rsidR="00223A6F" w:rsidRPr="006C46BE" w:rsidRDefault="00223A6F">
            <w:pPr>
              <w:ind w:left="720" w:hanging="720"/>
              <w:jc w:val="right"/>
              <w:rPr>
                <w:rFonts w:cs="Arial"/>
                <w:sz w:val="22"/>
                <w:szCs w:val="22"/>
                <w:lang w:eastAsia="en-GB"/>
              </w:rPr>
            </w:pP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162"/>
              <w:rPr>
                <w:rStyle w:val="endsenrhsennumparatext"/>
                <w:rFonts w:cs="Arial"/>
                <w:b/>
                <w:sz w:val="22"/>
                <w:szCs w:val="22"/>
                <w:lang w:val="en"/>
              </w:rPr>
            </w:pPr>
            <w:r w:rsidRPr="006C46BE">
              <w:rPr>
                <w:rStyle w:val="endsenrhsennumparatext"/>
                <w:rFonts w:cs="Arial"/>
                <w:b/>
                <w:sz w:val="22"/>
                <w:szCs w:val="22"/>
                <w:lang w:val="en"/>
              </w:rPr>
              <w:t>Corporate Management Committee – Commercial Property related</w:t>
            </w:r>
          </w:p>
        </w:tc>
        <w:tc>
          <w:tcPr>
            <w:tcW w:w="1228"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ind w:left="720" w:hanging="720"/>
              <w:jc w:val="right"/>
              <w:rPr>
                <w:rFonts w:cs="Arial"/>
                <w:b/>
                <w:sz w:val="22"/>
                <w:szCs w:val="22"/>
                <w:lang w:eastAsia="en-GB"/>
              </w:rPr>
            </w:pP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numPr>
                <w:ilvl w:val="0"/>
                <w:numId w:val="29"/>
              </w:numPr>
              <w:tabs>
                <w:tab w:val="clear" w:pos="2160"/>
                <w:tab w:val="clear" w:pos="2880"/>
                <w:tab w:val="clear" w:pos="3600"/>
                <w:tab w:val="clear" w:pos="4320"/>
                <w:tab w:val="clear" w:pos="5040"/>
                <w:tab w:val="left" w:pos="522"/>
              </w:tabs>
              <w:ind w:left="522"/>
              <w:rPr>
                <w:rFonts w:cs="Arial"/>
                <w:sz w:val="22"/>
                <w:szCs w:val="22"/>
                <w:lang w:eastAsia="en-GB"/>
              </w:rPr>
            </w:pPr>
            <w:r w:rsidRPr="006C46BE">
              <w:rPr>
                <w:rFonts w:cs="Arial"/>
                <w:sz w:val="22"/>
                <w:szCs w:val="22"/>
                <w:lang w:eastAsia="en-GB"/>
              </w:rPr>
              <w:t>Commercial Services staffing savings (CMC Dec 2016) over estimated</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107</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numPr>
                <w:ilvl w:val="0"/>
                <w:numId w:val="29"/>
              </w:numPr>
              <w:tabs>
                <w:tab w:val="clear" w:pos="2160"/>
                <w:tab w:val="clear" w:pos="2880"/>
                <w:tab w:val="clear" w:pos="3600"/>
                <w:tab w:val="clear" w:pos="4320"/>
                <w:tab w:val="clear" w:pos="5040"/>
                <w:tab w:val="left" w:pos="522"/>
              </w:tabs>
              <w:ind w:left="522"/>
              <w:rPr>
                <w:rFonts w:cs="Arial"/>
                <w:sz w:val="22"/>
                <w:szCs w:val="22"/>
                <w:lang w:eastAsia="en-GB"/>
              </w:rPr>
            </w:pPr>
            <w:r w:rsidRPr="006C46BE">
              <w:rPr>
                <w:rFonts w:cs="Arial"/>
                <w:sz w:val="22"/>
                <w:szCs w:val="22"/>
                <w:lang w:eastAsia="en-GB"/>
              </w:rPr>
              <w:t>Property Development – P/U – from schemes carried forward</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254</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numPr>
                <w:ilvl w:val="0"/>
                <w:numId w:val="29"/>
              </w:numPr>
              <w:tabs>
                <w:tab w:val="clear" w:pos="2160"/>
                <w:tab w:val="clear" w:pos="2880"/>
                <w:tab w:val="clear" w:pos="3600"/>
                <w:tab w:val="clear" w:pos="4320"/>
                <w:tab w:val="clear" w:pos="5040"/>
                <w:tab w:val="left" w:pos="522"/>
              </w:tabs>
              <w:ind w:left="522"/>
              <w:rPr>
                <w:rFonts w:cs="Arial"/>
                <w:sz w:val="22"/>
                <w:szCs w:val="22"/>
                <w:lang w:eastAsia="en-GB"/>
              </w:rPr>
            </w:pPr>
            <w:r w:rsidRPr="006C46BE">
              <w:rPr>
                <w:rFonts w:cs="Arial"/>
                <w:sz w:val="22"/>
                <w:szCs w:val="22"/>
                <w:lang w:eastAsia="en-GB"/>
              </w:rPr>
              <w:t>Property Development – 168 High Street costs to be capitalised</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(100)</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numPr>
                <w:ilvl w:val="0"/>
                <w:numId w:val="29"/>
              </w:numPr>
              <w:tabs>
                <w:tab w:val="clear" w:pos="2160"/>
                <w:tab w:val="clear" w:pos="2880"/>
                <w:tab w:val="clear" w:pos="3600"/>
                <w:tab w:val="clear" w:pos="4320"/>
                <w:tab w:val="clear" w:pos="5040"/>
                <w:tab w:val="left" w:pos="522"/>
              </w:tabs>
              <w:ind w:left="522"/>
              <w:rPr>
                <w:rFonts w:cs="Arial"/>
                <w:sz w:val="22"/>
                <w:szCs w:val="22"/>
                <w:lang w:eastAsia="en-GB"/>
              </w:rPr>
            </w:pPr>
            <w:r w:rsidRPr="006C46BE">
              <w:rPr>
                <w:rFonts w:cs="Arial"/>
                <w:sz w:val="22"/>
                <w:szCs w:val="22"/>
                <w:lang w:eastAsia="en-GB"/>
              </w:rPr>
              <w:t>Property Development – TVHA costs capitalised in previous year</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15</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numPr>
                <w:ilvl w:val="0"/>
                <w:numId w:val="29"/>
              </w:numPr>
              <w:tabs>
                <w:tab w:val="clear" w:pos="2160"/>
                <w:tab w:val="clear" w:pos="2880"/>
                <w:tab w:val="clear" w:pos="3600"/>
                <w:tab w:val="clear" w:pos="4320"/>
                <w:tab w:val="clear" w:pos="5040"/>
                <w:tab w:val="left" w:pos="522"/>
              </w:tabs>
              <w:ind w:left="522"/>
              <w:rPr>
                <w:rFonts w:cs="Arial"/>
                <w:sz w:val="22"/>
                <w:szCs w:val="22"/>
                <w:lang w:eastAsia="en-GB"/>
              </w:rPr>
            </w:pPr>
            <w:r w:rsidRPr="006C46BE">
              <w:rPr>
                <w:rFonts w:cs="Arial"/>
                <w:sz w:val="22"/>
                <w:szCs w:val="22"/>
                <w:lang w:eastAsia="en-GB"/>
              </w:rPr>
              <w:t xml:space="preserve">Property Holdings - staffing temporary </w:t>
            </w:r>
            <w:proofErr w:type="spellStart"/>
            <w:r w:rsidRPr="006C46BE">
              <w:rPr>
                <w:rFonts w:cs="Arial"/>
                <w:sz w:val="22"/>
                <w:szCs w:val="22"/>
                <w:lang w:eastAsia="en-GB"/>
              </w:rPr>
              <w:t>valuers</w:t>
            </w:r>
            <w:proofErr w:type="spellEnd"/>
            <w:r w:rsidRPr="006C46BE">
              <w:rPr>
                <w:rFonts w:cs="Arial"/>
                <w:sz w:val="22"/>
                <w:szCs w:val="22"/>
                <w:lang w:eastAsia="en-GB"/>
              </w:rPr>
              <w:t xml:space="preserve"> extended a further year (CMC Feb 2017)</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153</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9F1077">
            <w:pPr>
              <w:numPr>
                <w:ilvl w:val="0"/>
                <w:numId w:val="29"/>
              </w:numPr>
              <w:tabs>
                <w:tab w:val="clear" w:pos="2160"/>
                <w:tab w:val="clear" w:pos="2880"/>
                <w:tab w:val="clear" w:pos="3600"/>
                <w:tab w:val="clear" w:pos="4320"/>
                <w:tab w:val="clear" w:pos="5040"/>
                <w:tab w:val="left" w:pos="522"/>
              </w:tabs>
              <w:ind w:left="522"/>
              <w:rPr>
                <w:rFonts w:cs="Arial"/>
                <w:sz w:val="22"/>
                <w:szCs w:val="22"/>
                <w:lang w:eastAsia="en-GB"/>
              </w:rPr>
            </w:pPr>
            <w:r w:rsidRPr="006C46BE">
              <w:rPr>
                <w:rFonts w:cs="Arial"/>
                <w:sz w:val="22"/>
                <w:szCs w:val="22"/>
                <w:lang w:eastAsia="en-GB"/>
              </w:rPr>
              <w:t>Rental income –</w:t>
            </w:r>
            <w:r w:rsidR="009F1077">
              <w:rPr>
                <w:rFonts w:cs="Arial"/>
                <w:sz w:val="22"/>
                <w:szCs w:val="22"/>
                <w:lang w:eastAsia="en-GB"/>
              </w:rPr>
              <w:t xml:space="preserve"> Floor repairs </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43</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numPr>
                <w:ilvl w:val="0"/>
                <w:numId w:val="29"/>
              </w:numPr>
              <w:tabs>
                <w:tab w:val="clear" w:pos="2160"/>
                <w:tab w:val="clear" w:pos="2880"/>
                <w:tab w:val="clear" w:pos="3600"/>
                <w:tab w:val="clear" w:pos="4320"/>
                <w:tab w:val="clear" w:pos="5040"/>
                <w:tab w:val="left" w:pos="522"/>
              </w:tabs>
              <w:ind w:left="522"/>
              <w:rPr>
                <w:rFonts w:cs="Arial"/>
                <w:sz w:val="22"/>
                <w:szCs w:val="22"/>
                <w:lang w:eastAsia="en-GB"/>
              </w:rPr>
            </w:pPr>
            <w:r w:rsidRPr="006C46BE">
              <w:rPr>
                <w:rFonts w:cs="Arial"/>
                <w:sz w:val="22"/>
                <w:szCs w:val="22"/>
                <w:lang w:eastAsia="en-GB"/>
              </w:rPr>
              <w:t>Rental income – MSCP income over estimated</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40</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9F1077">
            <w:pPr>
              <w:numPr>
                <w:ilvl w:val="0"/>
                <w:numId w:val="29"/>
              </w:numPr>
              <w:tabs>
                <w:tab w:val="clear" w:pos="2160"/>
                <w:tab w:val="clear" w:pos="2880"/>
                <w:tab w:val="clear" w:pos="3600"/>
                <w:tab w:val="clear" w:pos="4320"/>
                <w:tab w:val="clear" w:pos="5040"/>
                <w:tab w:val="left" w:pos="522"/>
              </w:tabs>
              <w:ind w:left="522"/>
              <w:rPr>
                <w:rFonts w:cs="Arial"/>
                <w:sz w:val="22"/>
                <w:szCs w:val="22"/>
                <w:lang w:eastAsia="en-GB"/>
              </w:rPr>
            </w:pPr>
            <w:r w:rsidRPr="006C46BE">
              <w:rPr>
                <w:rFonts w:cs="Arial"/>
                <w:sz w:val="22"/>
                <w:szCs w:val="22"/>
                <w:lang w:eastAsia="en-GB"/>
              </w:rPr>
              <w:t xml:space="preserve">Rental income – </w:t>
            </w:r>
            <w:r w:rsidR="009F1077">
              <w:rPr>
                <w:rFonts w:cs="Arial"/>
                <w:sz w:val="22"/>
                <w:szCs w:val="22"/>
                <w:lang w:eastAsia="en-GB"/>
              </w:rPr>
              <w:t>Rent reduction</w:t>
            </w:r>
            <w:r w:rsidRPr="006C46BE">
              <w:rPr>
                <w:rFonts w:cs="Arial"/>
                <w:sz w:val="22"/>
                <w:szCs w:val="22"/>
                <w:lang w:eastAsia="en-GB"/>
              </w:rPr>
              <w:t xml:space="preserve"> as part of development</w:t>
            </w:r>
          </w:p>
        </w:tc>
        <w:tc>
          <w:tcPr>
            <w:tcW w:w="1228"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41</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shd w:val="pct10" w:color="auto" w:fill="auto"/>
            <w:noWrap/>
            <w:vAlign w:val="bottom"/>
            <w:hideMark/>
          </w:tcPr>
          <w:p w:rsidR="00223A6F" w:rsidRPr="006C46BE" w:rsidRDefault="00223A6F">
            <w:pPr>
              <w:tabs>
                <w:tab w:val="left" w:pos="522"/>
              </w:tabs>
              <w:rPr>
                <w:rStyle w:val="endsenrhsennumparatext"/>
                <w:rFonts w:cs="Arial"/>
                <w:b/>
                <w:sz w:val="22"/>
                <w:szCs w:val="22"/>
                <w:lang w:val="en"/>
              </w:rPr>
            </w:pPr>
            <w:r w:rsidRPr="006C46BE">
              <w:rPr>
                <w:rStyle w:val="endsenrhsennumparatext"/>
                <w:rFonts w:cs="Arial"/>
                <w:b/>
                <w:sz w:val="22"/>
                <w:szCs w:val="22"/>
                <w:lang w:val="en"/>
              </w:rPr>
              <w:t>Sub Total – Commercial Property</w:t>
            </w:r>
          </w:p>
        </w:tc>
        <w:tc>
          <w:tcPr>
            <w:tcW w:w="1228" w:type="dxa"/>
            <w:tcBorders>
              <w:top w:val="single" w:sz="4" w:space="0" w:color="auto"/>
              <w:left w:val="dotted" w:sz="4" w:space="0" w:color="auto"/>
              <w:bottom w:val="single" w:sz="4" w:space="0" w:color="auto"/>
              <w:right w:val="dotted" w:sz="4" w:space="0" w:color="auto"/>
            </w:tcBorders>
            <w:shd w:val="pct10" w:color="auto" w:fill="auto"/>
            <w:noWrap/>
            <w:vAlign w:val="bottom"/>
            <w:hideMark/>
          </w:tcPr>
          <w:p w:rsidR="00223A6F" w:rsidRPr="006C46BE" w:rsidRDefault="00223A6F">
            <w:pPr>
              <w:ind w:left="720" w:hanging="720"/>
              <w:jc w:val="right"/>
              <w:rPr>
                <w:rFonts w:cs="Arial"/>
                <w:b/>
                <w:sz w:val="22"/>
                <w:szCs w:val="22"/>
                <w:lang w:eastAsia="en-GB"/>
              </w:rPr>
            </w:pPr>
            <w:r w:rsidRPr="006C46BE">
              <w:rPr>
                <w:rFonts w:cs="Arial"/>
                <w:b/>
                <w:sz w:val="22"/>
                <w:szCs w:val="22"/>
                <w:lang w:eastAsia="en-GB"/>
              </w:rPr>
              <w:t>553</w:t>
            </w:r>
          </w:p>
        </w:tc>
      </w:tr>
      <w:tr w:rsidR="00223A6F" w:rsidRPr="006C46BE" w:rsidTr="00223A6F">
        <w:trPr>
          <w:trHeight w:val="255"/>
        </w:trPr>
        <w:tc>
          <w:tcPr>
            <w:tcW w:w="7502" w:type="dxa"/>
            <w:tcBorders>
              <w:top w:val="dotted" w:sz="4" w:space="0" w:color="auto"/>
              <w:left w:val="dotted" w:sz="4" w:space="0" w:color="auto"/>
              <w:bottom w:val="single" w:sz="4" w:space="0" w:color="auto"/>
              <w:right w:val="dotted" w:sz="4" w:space="0" w:color="auto"/>
            </w:tcBorders>
            <w:noWrap/>
            <w:vAlign w:val="bottom"/>
          </w:tcPr>
          <w:p w:rsidR="00223A6F" w:rsidRPr="006C46BE" w:rsidRDefault="00223A6F">
            <w:pPr>
              <w:tabs>
                <w:tab w:val="left" w:pos="522"/>
              </w:tabs>
              <w:ind w:left="162"/>
              <w:rPr>
                <w:rStyle w:val="endsenrhsennumparatext"/>
                <w:rFonts w:cs="Arial"/>
                <w:b/>
                <w:sz w:val="22"/>
                <w:szCs w:val="22"/>
                <w:lang w:val="en"/>
              </w:rPr>
            </w:pPr>
          </w:p>
        </w:tc>
        <w:tc>
          <w:tcPr>
            <w:tcW w:w="1228" w:type="dxa"/>
            <w:tcBorders>
              <w:top w:val="single" w:sz="4" w:space="0" w:color="auto"/>
              <w:left w:val="dotted" w:sz="4" w:space="0" w:color="auto"/>
              <w:bottom w:val="single" w:sz="4" w:space="0" w:color="auto"/>
              <w:right w:val="dotted" w:sz="4" w:space="0" w:color="auto"/>
            </w:tcBorders>
            <w:noWrap/>
            <w:vAlign w:val="bottom"/>
          </w:tcPr>
          <w:p w:rsidR="00223A6F" w:rsidRPr="006C46BE" w:rsidRDefault="00223A6F">
            <w:pPr>
              <w:ind w:left="720" w:hanging="720"/>
              <w:jc w:val="right"/>
              <w:rPr>
                <w:rFonts w:cs="Arial"/>
                <w:b/>
                <w:sz w:val="22"/>
                <w:szCs w:val="22"/>
                <w:lang w:eastAsia="en-GB"/>
              </w:rPr>
            </w:pPr>
          </w:p>
        </w:tc>
      </w:tr>
      <w:tr w:rsidR="00223A6F" w:rsidRPr="006C46BE" w:rsidTr="00223A6F">
        <w:trPr>
          <w:trHeight w:val="255"/>
        </w:trPr>
        <w:tc>
          <w:tcPr>
            <w:tcW w:w="7502" w:type="dxa"/>
            <w:tcBorders>
              <w:top w:val="single" w:sz="4" w:space="0" w:color="auto"/>
              <w:left w:val="dotted" w:sz="4" w:space="0" w:color="auto"/>
              <w:bottom w:val="single" w:sz="4" w:space="0" w:color="auto"/>
              <w:right w:val="dotted" w:sz="4" w:space="0" w:color="auto"/>
            </w:tcBorders>
            <w:shd w:val="pct10" w:color="auto" w:fill="auto"/>
            <w:noWrap/>
            <w:vAlign w:val="center"/>
            <w:hideMark/>
          </w:tcPr>
          <w:p w:rsidR="00223A6F" w:rsidRPr="006C46BE" w:rsidRDefault="00223A6F">
            <w:pPr>
              <w:tabs>
                <w:tab w:val="left" w:pos="522"/>
              </w:tabs>
              <w:rPr>
                <w:rStyle w:val="endsenrhsennumparatext"/>
                <w:rFonts w:cs="Arial"/>
                <w:b/>
                <w:sz w:val="22"/>
                <w:szCs w:val="22"/>
                <w:lang w:val="en"/>
              </w:rPr>
            </w:pPr>
            <w:r w:rsidRPr="006C46BE">
              <w:rPr>
                <w:rStyle w:val="endsenrhsennumparatext"/>
                <w:rFonts w:cs="Arial"/>
                <w:b/>
                <w:sz w:val="22"/>
                <w:szCs w:val="22"/>
                <w:lang w:val="en"/>
              </w:rPr>
              <w:t>Forecast Net Expenditure on Services</w:t>
            </w:r>
          </w:p>
        </w:tc>
        <w:tc>
          <w:tcPr>
            <w:tcW w:w="1228" w:type="dxa"/>
            <w:tcBorders>
              <w:top w:val="single" w:sz="4" w:space="0" w:color="auto"/>
              <w:left w:val="dotted" w:sz="4" w:space="0" w:color="auto"/>
              <w:bottom w:val="single" w:sz="4" w:space="0" w:color="auto"/>
              <w:right w:val="dotted" w:sz="4" w:space="0" w:color="auto"/>
            </w:tcBorders>
            <w:shd w:val="pct10" w:color="auto" w:fill="auto"/>
            <w:noWrap/>
            <w:vAlign w:val="center"/>
            <w:hideMark/>
          </w:tcPr>
          <w:p w:rsidR="00223A6F" w:rsidRPr="006C46BE" w:rsidRDefault="00223A6F">
            <w:pPr>
              <w:jc w:val="right"/>
              <w:rPr>
                <w:rFonts w:cs="Arial"/>
                <w:b/>
                <w:sz w:val="22"/>
                <w:szCs w:val="22"/>
                <w:lang w:eastAsia="en-GB"/>
              </w:rPr>
            </w:pPr>
            <w:r w:rsidRPr="006C46BE">
              <w:rPr>
                <w:rFonts w:cs="Arial"/>
                <w:b/>
                <w:sz w:val="22"/>
                <w:szCs w:val="22"/>
                <w:lang w:eastAsia="en-GB"/>
              </w:rPr>
              <w:t>4,946</w:t>
            </w:r>
          </w:p>
        </w:tc>
      </w:tr>
    </w:tbl>
    <w:p w:rsidR="00223A6F" w:rsidRPr="006C46BE" w:rsidRDefault="00223A6F" w:rsidP="00223A6F">
      <w:pPr>
        <w:ind w:left="720" w:hanging="720"/>
        <w:rPr>
          <w:rFonts w:cs="Arial"/>
          <w:sz w:val="22"/>
          <w:szCs w:val="22"/>
          <w:highlight w:val="yellow"/>
        </w:rPr>
      </w:pPr>
    </w:p>
    <w:p w:rsidR="00223A6F" w:rsidRPr="006C46BE" w:rsidRDefault="00223A6F" w:rsidP="00223A6F">
      <w:pPr>
        <w:ind w:left="720" w:hanging="720"/>
        <w:rPr>
          <w:rFonts w:cs="Arial"/>
          <w:sz w:val="22"/>
          <w:szCs w:val="22"/>
        </w:rPr>
      </w:pPr>
      <w:r w:rsidRPr="006C46BE">
        <w:rPr>
          <w:rFonts w:cs="Arial"/>
          <w:sz w:val="22"/>
          <w:szCs w:val="22"/>
        </w:rPr>
        <w:tab/>
        <w:t>Note: P/U = 2016/17 Planned Underspend.  Budget carried forward to be spent in the current year (with corresponding saving shown in the 2016/17 financial year).</w:t>
      </w:r>
      <w:r w:rsidRPr="006C46BE">
        <w:rPr>
          <w:rFonts w:cs="Arial"/>
          <w:sz w:val="22"/>
          <w:szCs w:val="22"/>
        </w:rPr>
        <w:tab/>
      </w:r>
    </w:p>
    <w:p w:rsidR="00223A6F" w:rsidRPr="006C46BE" w:rsidRDefault="00223A6F" w:rsidP="00223A6F">
      <w:pPr>
        <w:ind w:left="720" w:hanging="720"/>
        <w:rPr>
          <w:rFonts w:cs="Arial"/>
          <w:sz w:val="22"/>
          <w:szCs w:val="22"/>
        </w:rPr>
      </w:pPr>
    </w:p>
    <w:p w:rsidR="00223A6F" w:rsidRPr="006C46BE" w:rsidRDefault="00223A6F" w:rsidP="00223A6F">
      <w:pPr>
        <w:ind w:left="720" w:hanging="720"/>
        <w:rPr>
          <w:rFonts w:cs="Arial"/>
          <w:sz w:val="22"/>
          <w:szCs w:val="22"/>
        </w:rPr>
      </w:pPr>
      <w:r w:rsidRPr="006C46BE">
        <w:rPr>
          <w:rFonts w:cs="Arial"/>
          <w:sz w:val="22"/>
          <w:szCs w:val="22"/>
        </w:rPr>
        <w:lastRenderedPageBreak/>
        <w:t>2.4</w:t>
      </w:r>
      <w:r w:rsidRPr="006C46BE">
        <w:rPr>
          <w:rFonts w:cs="Arial"/>
          <w:sz w:val="22"/>
          <w:szCs w:val="22"/>
        </w:rPr>
        <w:tab/>
        <w:t>Table 2 above shows that net expenditure on services is forecast to be £4.946m, an increase of £1.793m on the original budget as seen at A</w:t>
      </w:r>
      <w:r w:rsidR="009F1077">
        <w:rPr>
          <w:rFonts w:cs="Arial"/>
          <w:sz w:val="22"/>
          <w:szCs w:val="22"/>
        </w:rPr>
        <w:t>ppendi</w:t>
      </w:r>
      <w:r w:rsidRPr="006C46BE">
        <w:rPr>
          <w:rFonts w:cs="Arial"/>
          <w:sz w:val="22"/>
          <w:szCs w:val="22"/>
        </w:rPr>
        <w:t xml:space="preserve">x </w:t>
      </w:r>
      <w:r w:rsidR="009F1077">
        <w:rPr>
          <w:rFonts w:cs="Arial"/>
          <w:sz w:val="22"/>
          <w:szCs w:val="22"/>
        </w:rPr>
        <w:t>‘B’</w:t>
      </w:r>
      <w:r w:rsidRPr="006C46BE">
        <w:rPr>
          <w:rFonts w:cs="Arial"/>
          <w:sz w:val="22"/>
          <w:szCs w:val="22"/>
        </w:rPr>
        <w:t>.  This increase can be broken down as follows:</w:t>
      </w:r>
    </w:p>
    <w:p w:rsidR="00223A6F" w:rsidRPr="006C46BE" w:rsidRDefault="00223A6F" w:rsidP="00223A6F">
      <w:pPr>
        <w:ind w:left="720" w:hanging="720"/>
        <w:rPr>
          <w:rFonts w:cs="Arial"/>
          <w:sz w:val="22"/>
          <w:szCs w:val="22"/>
        </w:rPr>
      </w:pPr>
    </w:p>
    <w:tbl>
      <w:tblPr>
        <w:tblW w:w="8730"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502"/>
        <w:gridCol w:w="1228"/>
      </w:tblGrid>
      <w:tr w:rsidR="00223A6F" w:rsidRPr="006C46BE" w:rsidTr="00223A6F">
        <w:trPr>
          <w:trHeight w:val="255"/>
        </w:trPr>
        <w:tc>
          <w:tcPr>
            <w:tcW w:w="8730"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noWrap/>
            <w:vAlign w:val="bottom"/>
            <w:hideMark/>
          </w:tcPr>
          <w:p w:rsidR="00223A6F" w:rsidRPr="006C46BE" w:rsidRDefault="00223A6F">
            <w:pPr>
              <w:jc w:val="center"/>
              <w:rPr>
                <w:rFonts w:cs="Arial"/>
                <w:sz w:val="22"/>
                <w:szCs w:val="22"/>
              </w:rPr>
            </w:pPr>
            <w:r w:rsidRPr="006C46BE">
              <w:rPr>
                <w:rFonts w:cs="Arial"/>
                <w:b/>
                <w:sz w:val="22"/>
                <w:szCs w:val="22"/>
                <w:lang w:eastAsia="en-GB"/>
              </w:rPr>
              <w:t>Table 3 – Analysis of budget increases</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tabs>
                <w:tab w:val="left" w:pos="522"/>
              </w:tabs>
              <w:ind w:left="162"/>
              <w:rPr>
                <w:rStyle w:val="endsenrhsennumparatext"/>
                <w:rFonts w:cs="Arial"/>
                <w:b/>
                <w:sz w:val="22"/>
                <w:szCs w:val="22"/>
                <w:lang w:val="en"/>
              </w:rPr>
            </w:pPr>
          </w:p>
        </w:tc>
        <w:tc>
          <w:tcPr>
            <w:tcW w:w="1228" w:type="dxa"/>
            <w:tcBorders>
              <w:top w:val="dotted" w:sz="4" w:space="0" w:color="auto"/>
              <w:left w:val="dotted" w:sz="4" w:space="0" w:color="auto"/>
              <w:bottom w:val="dotted" w:sz="4" w:space="0" w:color="auto"/>
              <w:right w:val="dotted" w:sz="4" w:space="0" w:color="auto"/>
            </w:tcBorders>
            <w:noWrap/>
            <w:hideMark/>
          </w:tcPr>
          <w:p w:rsidR="00223A6F" w:rsidRPr="006C46BE" w:rsidRDefault="00223A6F">
            <w:pPr>
              <w:jc w:val="center"/>
              <w:rPr>
                <w:rFonts w:cs="Arial"/>
                <w:sz w:val="22"/>
                <w:szCs w:val="22"/>
              </w:rPr>
            </w:pPr>
            <w:r w:rsidRPr="006C46BE">
              <w:rPr>
                <w:rFonts w:cs="Arial"/>
                <w:b/>
                <w:sz w:val="22"/>
                <w:szCs w:val="22"/>
                <w:lang w:eastAsia="en-GB"/>
              </w:rPr>
              <w:t>£’000</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tabs>
                <w:tab w:val="left" w:pos="522"/>
              </w:tabs>
              <w:ind w:left="162"/>
              <w:rPr>
                <w:rStyle w:val="endsenrhsennumparatext"/>
                <w:rFonts w:cs="Arial"/>
                <w:b/>
                <w:sz w:val="22"/>
                <w:szCs w:val="22"/>
                <w:lang w:val="en"/>
              </w:rPr>
            </w:pPr>
          </w:p>
        </w:tc>
        <w:tc>
          <w:tcPr>
            <w:tcW w:w="1228" w:type="dxa"/>
            <w:tcBorders>
              <w:top w:val="dotted" w:sz="4" w:space="0" w:color="auto"/>
              <w:left w:val="dotted" w:sz="4" w:space="0" w:color="auto"/>
              <w:bottom w:val="dotted" w:sz="4" w:space="0" w:color="auto"/>
              <w:right w:val="dotted" w:sz="4" w:space="0" w:color="auto"/>
            </w:tcBorders>
            <w:noWrap/>
          </w:tcPr>
          <w:p w:rsidR="00223A6F" w:rsidRPr="006C46BE" w:rsidRDefault="00223A6F">
            <w:pPr>
              <w:jc w:val="center"/>
              <w:rPr>
                <w:rFonts w:cs="Arial"/>
                <w:b/>
                <w:sz w:val="22"/>
                <w:szCs w:val="22"/>
                <w:lang w:eastAsia="en-GB"/>
              </w:rPr>
            </w:pP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pPr>
              <w:tabs>
                <w:tab w:val="left" w:pos="522"/>
              </w:tabs>
              <w:ind w:left="162"/>
              <w:rPr>
                <w:rStyle w:val="endsenrhsennumparatext"/>
                <w:rFonts w:cs="Arial"/>
                <w:sz w:val="22"/>
                <w:szCs w:val="22"/>
                <w:lang w:val="en"/>
              </w:rPr>
            </w:pPr>
            <w:r w:rsidRPr="006C46BE">
              <w:rPr>
                <w:rStyle w:val="endsenrhsennumparatext"/>
                <w:rFonts w:cs="Arial"/>
                <w:sz w:val="22"/>
                <w:szCs w:val="22"/>
                <w:lang w:val="en"/>
              </w:rPr>
              <w:t>Planned underspends carried forward from 2016/17</w:t>
            </w:r>
          </w:p>
        </w:tc>
        <w:tc>
          <w:tcPr>
            <w:tcW w:w="1228"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pPr>
              <w:jc w:val="right"/>
              <w:rPr>
                <w:rFonts w:cs="Arial"/>
                <w:sz w:val="22"/>
                <w:szCs w:val="22"/>
                <w:lang w:eastAsia="en-GB"/>
              </w:rPr>
            </w:pPr>
            <w:r w:rsidRPr="006C46BE">
              <w:rPr>
                <w:rFonts w:cs="Arial"/>
                <w:sz w:val="22"/>
                <w:szCs w:val="22"/>
                <w:lang w:eastAsia="en-GB"/>
              </w:rPr>
              <w:t>465</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pPr>
              <w:tabs>
                <w:tab w:val="left" w:pos="522"/>
              </w:tabs>
              <w:ind w:left="162"/>
              <w:rPr>
                <w:rStyle w:val="endsenrhsennumparatext"/>
                <w:rFonts w:cs="Arial"/>
                <w:sz w:val="22"/>
                <w:szCs w:val="22"/>
                <w:lang w:val="en"/>
              </w:rPr>
            </w:pPr>
            <w:r w:rsidRPr="006C46BE">
              <w:rPr>
                <w:rStyle w:val="endsenrhsennumparatext"/>
                <w:rFonts w:cs="Arial"/>
                <w:sz w:val="22"/>
                <w:szCs w:val="22"/>
                <w:lang w:val="en"/>
              </w:rPr>
              <w:t>Planned underspends carried forward from 2016/17 (Garden village grant)</w:t>
            </w:r>
          </w:p>
        </w:tc>
        <w:tc>
          <w:tcPr>
            <w:tcW w:w="1228"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pPr>
              <w:jc w:val="right"/>
              <w:rPr>
                <w:rFonts w:cs="Arial"/>
                <w:sz w:val="22"/>
                <w:szCs w:val="22"/>
                <w:lang w:eastAsia="en-GB"/>
              </w:rPr>
            </w:pPr>
            <w:r w:rsidRPr="006C46BE">
              <w:rPr>
                <w:rFonts w:cs="Arial"/>
                <w:sz w:val="22"/>
                <w:szCs w:val="22"/>
                <w:lang w:eastAsia="en-GB"/>
              </w:rPr>
              <w:t>229</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pPr>
              <w:tabs>
                <w:tab w:val="left" w:pos="522"/>
              </w:tabs>
              <w:ind w:left="162"/>
              <w:rPr>
                <w:rStyle w:val="endsenrhsennumparatext"/>
                <w:rFonts w:cs="Arial"/>
                <w:sz w:val="22"/>
                <w:szCs w:val="22"/>
                <w:lang w:val="en"/>
              </w:rPr>
            </w:pPr>
            <w:r w:rsidRPr="006C46BE">
              <w:rPr>
                <w:rStyle w:val="endsenrhsennumparatext"/>
                <w:rFonts w:cs="Arial"/>
                <w:sz w:val="22"/>
                <w:szCs w:val="22"/>
                <w:lang w:val="en"/>
              </w:rPr>
              <w:t>Approved supplementary estimates</w:t>
            </w:r>
          </w:p>
        </w:tc>
        <w:tc>
          <w:tcPr>
            <w:tcW w:w="1228"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pPr>
              <w:jc w:val="right"/>
              <w:rPr>
                <w:rFonts w:cs="Arial"/>
                <w:sz w:val="22"/>
                <w:szCs w:val="22"/>
                <w:lang w:eastAsia="en-GB"/>
              </w:rPr>
            </w:pPr>
            <w:r w:rsidRPr="006C46BE">
              <w:rPr>
                <w:rFonts w:cs="Arial"/>
                <w:sz w:val="22"/>
                <w:szCs w:val="22"/>
                <w:lang w:eastAsia="en-GB"/>
              </w:rPr>
              <w:t>467</w:t>
            </w:r>
          </w:p>
        </w:tc>
      </w:tr>
      <w:tr w:rsidR="00223A6F" w:rsidRPr="006C46BE" w:rsidTr="00223A6F">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pPr>
              <w:tabs>
                <w:tab w:val="left" w:pos="522"/>
              </w:tabs>
              <w:ind w:left="162"/>
              <w:rPr>
                <w:rStyle w:val="endsenrhsennumparatext"/>
                <w:rFonts w:cs="Arial"/>
                <w:sz w:val="22"/>
                <w:szCs w:val="22"/>
                <w:lang w:val="en"/>
              </w:rPr>
            </w:pPr>
            <w:r w:rsidRPr="006C46BE">
              <w:rPr>
                <w:rStyle w:val="endsenrhsennumparatext"/>
                <w:rFonts w:cs="Arial"/>
                <w:sz w:val="22"/>
                <w:szCs w:val="22"/>
                <w:lang w:val="en"/>
              </w:rPr>
              <w:t>Other growth pressures</w:t>
            </w:r>
          </w:p>
        </w:tc>
        <w:tc>
          <w:tcPr>
            <w:tcW w:w="1228"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pPr>
              <w:jc w:val="right"/>
              <w:rPr>
                <w:rFonts w:cs="Arial"/>
                <w:sz w:val="22"/>
                <w:szCs w:val="22"/>
                <w:lang w:eastAsia="en-GB"/>
              </w:rPr>
            </w:pPr>
            <w:r w:rsidRPr="006C46BE">
              <w:rPr>
                <w:rFonts w:cs="Arial"/>
                <w:sz w:val="22"/>
                <w:szCs w:val="22"/>
                <w:lang w:eastAsia="en-GB"/>
              </w:rPr>
              <w:t>632</w:t>
            </w:r>
          </w:p>
        </w:tc>
      </w:tr>
    </w:tbl>
    <w:p w:rsidR="00381F0C" w:rsidRPr="00381F0C" w:rsidRDefault="00381F0C" w:rsidP="00381F0C">
      <w:pPr>
        <w:rPr>
          <w:rFonts w:cs="Arial"/>
        </w:rPr>
      </w:pPr>
    </w:p>
    <w:p w:rsidR="00223A6F" w:rsidRPr="006C46BE" w:rsidRDefault="00223A6F" w:rsidP="00223A6F">
      <w:pPr>
        <w:pStyle w:val="ListParagraph"/>
        <w:numPr>
          <w:ilvl w:val="1"/>
          <w:numId w:val="30"/>
        </w:numPr>
        <w:tabs>
          <w:tab w:val="left" w:pos="720"/>
        </w:tabs>
        <w:spacing w:after="0" w:line="240" w:lineRule="auto"/>
        <w:ind w:left="709" w:hanging="709"/>
        <w:rPr>
          <w:rFonts w:ascii="Arial" w:hAnsi="Arial" w:cs="Arial"/>
        </w:rPr>
      </w:pPr>
      <w:r w:rsidRPr="006C46BE">
        <w:rPr>
          <w:rFonts w:ascii="Arial" w:hAnsi="Arial" w:cs="Arial"/>
        </w:rPr>
        <w:tab/>
        <w:t>Employee costs are by far the major cost item in the Council’s overall budget.  This budget is controlled centrally and quarterly Salary Control reports are distributed to the Corporate Leadership Team for them to monitor their staffing budgets</w:t>
      </w:r>
      <w:r w:rsidR="009F1077">
        <w:rPr>
          <w:rFonts w:ascii="Arial" w:hAnsi="Arial" w:cs="Arial"/>
        </w:rPr>
        <w:t>.</w:t>
      </w:r>
    </w:p>
    <w:p w:rsidR="00223A6F" w:rsidRPr="006C46BE" w:rsidRDefault="00223A6F" w:rsidP="00223A6F">
      <w:pPr>
        <w:pStyle w:val="ListParagraph"/>
        <w:tabs>
          <w:tab w:val="left" w:pos="720"/>
        </w:tabs>
        <w:ind w:left="709"/>
        <w:rPr>
          <w:rFonts w:ascii="Arial" w:hAnsi="Arial" w:cs="Arial"/>
        </w:rPr>
      </w:pPr>
    </w:p>
    <w:p w:rsidR="00223A6F" w:rsidRPr="006C46BE" w:rsidRDefault="00223A6F" w:rsidP="00223A6F">
      <w:pPr>
        <w:pStyle w:val="ListParagraph"/>
        <w:numPr>
          <w:ilvl w:val="1"/>
          <w:numId w:val="30"/>
        </w:numPr>
        <w:tabs>
          <w:tab w:val="left" w:pos="720"/>
        </w:tabs>
        <w:spacing w:after="0" w:line="240" w:lineRule="auto"/>
        <w:ind w:left="709" w:hanging="709"/>
        <w:rPr>
          <w:rFonts w:ascii="Arial" w:hAnsi="Arial" w:cs="Arial"/>
        </w:rPr>
      </w:pPr>
      <w:r w:rsidRPr="006C46BE">
        <w:rPr>
          <w:rFonts w:ascii="Arial" w:hAnsi="Arial" w:cs="Arial"/>
        </w:rPr>
        <w:t xml:space="preserve">The 2017/18 budget included a staff turnover/vacancy savings target of £247,000.  The turnover/vacancy savings target was set against the salary budget for all officers with the exception of some frontline services where filling vacancies with agency or temporary staff is imperative in order to keep the service running (e.g. refuse collection, street cleansing, day centre transport etc.).  These targets have been built into the Current Budget column in table 4 below, which monitors the current staffing spend against the expected budget spend for the period to date.   This shows that as at the 30 June, the salary budget is overspent by £59,000.  </w:t>
      </w:r>
    </w:p>
    <w:p w:rsidR="009F1077" w:rsidRPr="006C46BE" w:rsidRDefault="009F1077" w:rsidP="00223A6F">
      <w:pPr>
        <w:pStyle w:val="ListParagraph"/>
        <w:rPr>
          <w:rFonts w:ascii="Arial" w:hAnsi="Arial" w:cs="Arial"/>
        </w:rPr>
      </w:pPr>
    </w:p>
    <w:tbl>
      <w:tblPr>
        <w:tblW w:w="8494"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7"/>
        <w:gridCol w:w="1133"/>
        <w:gridCol w:w="1134"/>
        <w:gridCol w:w="1132"/>
        <w:gridCol w:w="1158"/>
      </w:tblGrid>
      <w:tr w:rsidR="00223A6F" w:rsidRPr="006C46BE" w:rsidTr="00223A6F">
        <w:trPr>
          <w:trHeight w:val="255"/>
        </w:trPr>
        <w:tc>
          <w:tcPr>
            <w:tcW w:w="8494" w:type="dxa"/>
            <w:gridSpan w:val="5"/>
            <w:tcBorders>
              <w:top w:val="dotted" w:sz="4" w:space="0" w:color="auto"/>
              <w:left w:val="dotted" w:sz="4" w:space="0" w:color="auto"/>
              <w:bottom w:val="dotted" w:sz="4" w:space="0" w:color="auto"/>
              <w:right w:val="dotted" w:sz="4" w:space="0" w:color="auto"/>
            </w:tcBorders>
            <w:shd w:val="clear" w:color="auto" w:fill="BFBFBF" w:themeFill="background1" w:themeFillShade="BF"/>
            <w:hideMark/>
          </w:tcPr>
          <w:p w:rsidR="00223A6F" w:rsidRPr="006C46BE" w:rsidRDefault="00223A6F">
            <w:pPr>
              <w:ind w:left="720" w:hanging="720"/>
              <w:jc w:val="center"/>
              <w:rPr>
                <w:rFonts w:cs="Arial"/>
                <w:sz w:val="22"/>
                <w:szCs w:val="22"/>
                <w:lang w:eastAsia="en-GB"/>
              </w:rPr>
            </w:pPr>
            <w:r w:rsidRPr="006C46BE">
              <w:rPr>
                <w:rFonts w:cs="Arial"/>
                <w:b/>
                <w:bCs/>
                <w:sz w:val="22"/>
                <w:szCs w:val="22"/>
                <w:lang w:eastAsia="en-GB"/>
              </w:rPr>
              <w:t>Table 4– Current salary budget performance</w:t>
            </w:r>
          </w:p>
        </w:tc>
      </w:tr>
      <w:tr w:rsidR="00223A6F" w:rsidRPr="006C46BE" w:rsidTr="00223A6F">
        <w:trPr>
          <w:trHeight w:val="255"/>
        </w:trPr>
        <w:tc>
          <w:tcPr>
            <w:tcW w:w="3958" w:type="dxa"/>
            <w:tcBorders>
              <w:top w:val="dotted" w:sz="4" w:space="0" w:color="auto"/>
              <w:left w:val="dotted" w:sz="4" w:space="0" w:color="auto"/>
              <w:bottom w:val="dotted" w:sz="4" w:space="0" w:color="auto"/>
              <w:right w:val="dotted" w:sz="4" w:space="0" w:color="auto"/>
            </w:tcBorders>
            <w:vAlign w:val="center"/>
          </w:tcPr>
          <w:p w:rsidR="00223A6F" w:rsidRPr="006C46BE" w:rsidRDefault="00223A6F">
            <w:pPr>
              <w:ind w:left="720" w:hanging="720"/>
              <w:rPr>
                <w:rFonts w:cs="Arial"/>
                <w:sz w:val="22"/>
                <w:szCs w:val="22"/>
                <w:lang w:eastAsia="en-GB"/>
              </w:rPr>
            </w:pP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center"/>
              <w:rPr>
                <w:rFonts w:cs="Arial"/>
                <w:b/>
                <w:sz w:val="22"/>
                <w:szCs w:val="22"/>
                <w:lang w:eastAsia="en-GB"/>
              </w:rPr>
            </w:pPr>
            <w:r w:rsidRPr="006C46BE">
              <w:rPr>
                <w:rFonts w:cs="Arial"/>
                <w:b/>
                <w:sz w:val="22"/>
                <w:szCs w:val="22"/>
                <w:lang w:eastAsia="en-GB"/>
              </w:rPr>
              <w:t>Current</w:t>
            </w:r>
          </w:p>
          <w:p w:rsidR="00223A6F" w:rsidRPr="006C46BE" w:rsidRDefault="00223A6F">
            <w:pPr>
              <w:ind w:left="720" w:hanging="720"/>
              <w:jc w:val="center"/>
              <w:rPr>
                <w:rFonts w:cs="Arial"/>
                <w:b/>
                <w:sz w:val="22"/>
                <w:szCs w:val="22"/>
                <w:lang w:eastAsia="en-GB"/>
              </w:rPr>
            </w:pPr>
            <w:r w:rsidRPr="006C46BE">
              <w:rPr>
                <w:rFonts w:cs="Arial"/>
                <w:b/>
                <w:sz w:val="22"/>
                <w:szCs w:val="22"/>
                <w:lang w:eastAsia="en-GB"/>
              </w:rPr>
              <w:t>Budget</w:t>
            </w:r>
          </w:p>
          <w:p w:rsidR="00223A6F" w:rsidRPr="006C46BE" w:rsidRDefault="00223A6F">
            <w:pPr>
              <w:ind w:left="720" w:hanging="720"/>
              <w:jc w:val="center"/>
              <w:rPr>
                <w:rFonts w:cs="Arial"/>
                <w:b/>
                <w:sz w:val="22"/>
                <w:szCs w:val="22"/>
                <w:lang w:eastAsia="en-GB"/>
              </w:rPr>
            </w:pPr>
            <w:r w:rsidRPr="006C46BE">
              <w:rPr>
                <w:rFonts w:cs="Arial"/>
                <w:b/>
                <w:sz w:val="22"/>
                <w:szCs w:val="22"/>
                <w:lang w:eastAsia="en-GB"/>
              </w:rPr>
              <w:t>£000</w:t>
            </w:r>
          </w:p>
        </w:tc>
        <w:tc>
          <w:tcPr>
            <w:tcW w:w="1134"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jc w:val="center"/>
              <w:rPr>
                <w:rFonts w:cs="Arial"/>
                <w:b/>
                <w:bCs/>
                <w:sz w:val="22"/>
                <w:szCs w:val="22"/>
                <w:lang w:eastAsia="en-GB"/>
              </w:rPr>
            </w:pPr>
            <w:r w:rsidRPr="006C46BE">
              <w:rPr>
                <w:rFonts w:cs="Arial"/>
                <w:b/>
                <w:bCs/>
                <w:sz w:val="22"/>
                <w:szCs w:val="22"/>
                <w:lang w:eastAsia="en-GB"/>
              </w:rPr>
              <w:t>Profiled</w:t>
            </w:r>
          </w:p>
          <w:p w:rsidR="00223A6F" w:rsidRPr="006C46BE" w:rsidRDefault="00223A6F">
            <w:pPr>
              <w:ind w:left="720" w:hanging="720"/>
              <w:jc w:val="center"/>
              <w:rPr>
                <w:rFonts w:cs="Arial"/>
                <w:b/>
                <w:bCs/>
                <w:sz w:val="22"/>
                <w:szCs w:val="22"/>
                <w:lang w:eastAsia="en-GB"/>
              </w:rPr>
            </w:pPr>
            <w:r w:rsidRPr="006C46BE">
              <w:rPr>
                <w:rFonts w:cs="Arial"/>
                <w:b/>
                <w:bCs/>
                <w:sz w:val="22"/>
                <w:szCs w:val="22"/>
                <w:lang w:eastAsia="en-GB"/>
              </w:rPr>
              <w:t>Budget</w:t>
            </w:r>
          </w:p>
          <w:p w:rsidR="00223A6F" w:rsidRPr="006C46BE" w:rsidRDefault="00223A6F">
            <w:pPr>
              <w:ind w:left="720" w:hanging="720"/>
              <w:jc w:val="center"/>
              <w:rPr>
                <w:rFonts w:cs="Arial"/>
                <w:b/>
                <w:bCs/>
                <w:sz w:val="22"/>
                <w:szCs w:val="22"/>
                <w:lang w:eastAsia="en-GB"/>
              </w:rPr>
            </w:pPr>
            <w:r w:rsidRPr="006C46BE">
              <w:rPr>
                <w:rFonts w:cs="Arial"/>
                <w:b/>
                <w:bCs/>
                <w:sz w:val="22"/>
                <w:szCs w:val="22"/>
                <w:lang w:eastAsia="en-GB"/>
              </w:rPr>
              <w:t>£000</w:t>
            </w:r>
          </w:p>
        </w:tc>
        <w:tc>
          <w:tcPr>
            <w:tcW w:w="1134" w:type="dxa"/>
            <w:tcBorders>
              <w:top w:val="dotted" w:sz="4" w:space="0" w:color="auto"/>
              <w:left w:val="dotted" w:sz="4" w:space="0" w:color="auto"/>
              <w:bottom w:val="dotted" w:sz="4" w:space="0" w:color="auto"/>
              <w:right w:val="dotted" w:sz="4" w:space="0" w:color="auto"/>
            </w:tcBorders>
            <w:hideMark/>
          </w:tcPr>
          <w:p w:rsidR="00223A6F" w:rsidRPr="006C46BE" w:rsidRDefault="00223A6F">
            <w:pPr>
              <w:ind w:left="720" w:hanging="720"/>
              <w:jc w:val="center"/>
              <w:rPr>
                <w:rFonts w:cs="Arial"/>
                <w:b/>
                <w:bCs/>
                <w:sz w:val="22"/>
                <w:szCs w:val="22"/>
                <w:lang w:eastAsia="en-GB"/>
              </w:rPr>
            </w:pPr>
            <w:r w:rsidRPr="006C46BE">
              <w:rPr>
                <w:rFonts w:cs="Arial"/>
                <w:b/>
                <w:bCs/>
                <w:sz w:val="22"/>
                <w:szCs w:val="22"/>
                <w:lang w:eastAsia="en-GB"/>
              </w:rPr>
              <w:t>Actual</w:t>
            </w:r>
          </w:p>
          <w:p w:rsidR="00223A6F" w:rsidRPr="006C46BE" w:rsidRDefault="00223A6F">
            <w:pPr>
              <w:ind w:left="720" w:hanging="720"/>
              <w:jc w:val="center"/>
              <w:rPr>
                <w:rFonts w:cs="Arial"/>
                <w:b/>
                <w:bCs/>
                <w:sz w:val="22"/>
                <w:szCs w:val="22"/>
                <w:lang w:eastAsia="en-GB"/>
              </w:rPr>
            </w:pPr>
            <w:r w:rsidRPr="006C46BE">
              <w:rPr>
                <w:rFonts w:cs="Arial"/>
                <w:b/>
                <w:bCs/>
                <w:sz w:val="22"/>
                <w:szCs w:val="22"/>
                <w:lang w:eastAsia="en-GB"/>
              </w:rPr>
              <w:t>to Date</w:t>
            </w:r>
          </w:p>
          <w:p w:rsidR="00223A6F" w:rsidRPr="006C46BE" w:rsidRDefault="00223A6F">
            <w:pPr>
              <w:ind w:left="720" w:hanging="720"/>
              <w:jc w:val="center"/>
              <w:rPr>
                <w:rFonts w:cs="Arial"/>
                <w:b/>
                <w:bCs/>
                <w:sz w:val="22"/>
                <w:szCs w:val="22"/>
                <w:lang w:eastAsia="en-GB"/>
              </w:rPr>
            </w:pPr>
            <w:r w:rsidRPr="006C46BE">
              <w:rPr>
                <w:rFonts w:cs="Arial"/>
                <w:b/>
                <w:bCs/>
                <w:sz w:val="22"/>
                <w:szCs w:val="22"/>
                <w:lang w:eastAsia="en-GB"/>
              </w:rPr>
              <w:t>£000</w:t>
            </w:r>
          </w:p>
        </w:tc>
        <w:tc>
          <w:tcPr>
            <w:tcW w:w="1134" w:type="dxa"/>
            <w:tcBorders>
              <w:top w:val="dotted" w:sz="4" w:space="0" w:color="auto"/>
              <w:left w:val="dotted" w:sz="4" w:space="0" w:color="auto"/>
              <w:bottom w:val="dotted" w:sz="4" w:space="0" w:color="auto"/>
              <w:right w:val="dotted" w:sz="4" w:space="0" w:color="auto"/>
            </w:tcBorders>
            <w:hideMark/>
          </w:tcPr>
          <w:p w:rsidR="00223A6F" w:rsidRPr="006C46BE" w:rsidRDefault="00223A6F">
            <w:pPr>
              <w:jc w:val="center"/>
              <w:rPr>
                <w:rFonts w:cs="Arial"/>
                <w:b/>
                <w:bCs/>
                <w:sz w:val="22"/>
                <w:szCs w:val="22"/>
                <w:lang w:eastAsia="en-GB"/>
              </w:rPr>
            </w:pPr>
            <w:r w:rsidRPr="006C46BE">
              <w:rPr>
                <w:rFonts w:cs="Arial"/>
                <w:b/>
                <w:bCs/>
                <w:sz w:val="22"/>
                <w:szCs w:val="22"/>
                <w:lang w:eastAsia="en-GB"/>
              </w:rPr>
              <w:t>Variation to date</w:t>
            </w:r>
            <w:r w:rsidRPr="006C46BE">
              <w:rPr>
                <w:rFonts w:cs="Arial"/>
                <w:b/>
                <w:bCs/>
                <w:sz w:val="22"/>
                <w:szCs w:val="22"/>
                <w:lang w:eastAsia="en-GB"/>
              </w:rPr>
              <w:br/>
              <w:t>£’000</w:t>
            </w:r>
          </w:p>
        </w:tc>
      </w:tr>
      <w:tr w:rsidR="00223A6F" w:rsidRPr="006C46BE" w:rsidTr="00223A6F">
        <w:trPr>
          <w:trHeight w:val="255"/>
        </w:trPr>
        <w:tc>
          <w:tcPr>
            <w:tcW w:w="3958"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rPr>
                <w:rFonts w:cs="Arial"/>
                <w:sz w:val="22"/>
                <w:szCs w:val="22"/>
                <w:lang w:eastAsia="en-GB"/>
              </w:rPr>
            </w:pPr>
            <w:r w:rsidRPr="006C46BE">
              <w:rPr>
                <w:rFonts w:cs="Arial"/>
                <w:sz w:val="22"/>
                <w:szCs w:val="22"/>
                <w:lang w:eastAsia="en-GB"/>
              </w:rPr>
              <w:t>Corporate Services</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921</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218</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238</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20</w:t>
            </w:r>
          </w:p>
        </w:tc>
      </w:tr>
      <w:tr w:rsidR="00223A6F" w:rsidRPr="006C46BE" w:rsidTr="00223A6F">
        <w:trPr>
          <w:trHeight w:val="255"/>
        </w:trPr>
        <w:tc>
          <w:tcPr>
            <w:tcW w:w="3958"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rPr>
                <w:rFonts w:cs="Arial"/>
                <w:sz w:val="22"/>
                <w:szCs w:val="22"/>
                <w:lang w:eastAsia="en-GB"/>
              </w:rPr>
            </w:pPr>
            <w:r w:rsidRPr="006C46BE">
              <w:rPr>
                <w:rFonts w:cs="Arial"/>
                <w:sz w:val="22"/>
                <w:szCs w:val="22"/>
                <w:lang w:eastAsia="en-GB"/>
              </w:rPr>
              <w:t>Law &amp; Governance</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743</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184</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178</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(6)</w:t>
            </w:r>
          </w:p>
        </w:tc>
      </w:tr>
      <w:tr w:rsidR="00223A6F" w:rsidRPr="006C46BE" w:rsidTr="00223A6F">
        <w:trPr>
          <w:trHeight w:val="255"/>
        </w:trPr>
        <w:tc>
          <w:tcPr>
            <w:tcW w:w="3958"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rPr>
                <w:rFonts w:cs="Arial"/>
                <w:sz w:val="22"/>
                <w:szCs w:val="22"/>
                <w:lang w:eastAsia="en-GB"/>
              </w:rPr>
            </w:pPr>
            <w:r w:rsidRPr="006C46BE">
              <w:rPr>
                <w:rFonts w:cs="Arial"/>
                <w:sz w:val="22"/>
                <w:szCs w:val="22"/>
                <w:lang w:eastAsia="en-GB"/>
              </w:rPr>
              <w:t>Resources – Customer Services</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312</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66</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141</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75</w:t>
            </w:r>
          </w:p>
        </w:tc>
      </w:tr>
      <w:tr w:rsidR="00223A6F" w:rsidRPr="006C46BE" w:rsidTr="00223A6F">
        <w:trPr>
          <w:trHeight w:val="255"/>
        </w:trPr>
        <w:tc>
          <w:tcPr>
            <w:tcW w:w="3958"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rPr>
                <w:rFonts w:cs="Arial"/>
                <w:sz w:val="22"/>
                <w:szCs w:val="22"/>
                <w:lang w:eastAsia="en-GB"/>
              </w:rPr>
            </w:pPr>
            <w:r w:rsidRPr="006C46BE">
              <w:rPr>
                <w:rFonts w:cs="Arial"/>
                <w:sz w:val="22"/>
                <w:szCs w:val="22"/>
                <w:lang w:eastAsia="en-GB"/>
              </w:rPr>
              <w:t>Resources - Other</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2,091</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538</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529</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(9)</w:t>
            </w:r>
          </w:p>
        </w:tc>
      </w:tr>
      <w:tr w:rsidR="00223A6F" w:rsidRPr="006C46BE" w:rsidTr="00223A6F">
        <w:trPr>
          <w:trHeight w:val="255"/>
        </w:trPr>
        <w:tc>
          <w:tcPr>
            <w:tcW w:w="3958"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rPr>
                <w:rFonts w:cs="Arial"/>
                <w:sz w:val="22"/>
                <w:szCs w:val="22"/>
                <w:lang w:eastAsia="en-GB"/>
              </w:rPr>
            </w:pPr>
            <w:r w:rsidRPr="006C46BE">
              <w:rPr>
                <w:rFonts w:cs="Arial"/>
                <w:sz w:val="22"/>
                <w:szCs w:val="22"/>
                <w:lang w:eastAsia="en-GB"/>
              </w:rPr>
              <w:t>Planning</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1,523</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358</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354</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(4)</w:t>
            </w:r>
          </w:p>
        </w:tc>
      </w:tr>
      <w:tr w:rsidR="00223A6F" w:rsidRPr="006C46BE" w:rsidTr="00223A6F">
        <w:trPr>
          <w:trHeight w:val="255"/>
        </w:trPr>
        <w:tc>
          <w:tcPr>
            <w:tcW w:w="3958"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rPr>
                <w:rFonts w:cs="Arial"/>
                <w:sz w:val="22"/>
                <w:szCs w:val="22"/>
                <w:lang w:eastAsia="en-GB"/>
              </w:rPr>
            </w:pPr>
            <w:r w:rsidRPr="006C46BE">
              <w:rPr>
                <w:rFonts w:cs="Arial"/>
                <w:sz w:val="22"/>
                <w:szCs w:val="22"/>
                <w:lang w:eastAsia="en-GB"/>
              </w:rPr>
              <w:t>Environmental Services</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1,483</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366</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361</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(5)</w:t>
            </w:r>
          </w:p>
        </w:tc>
      </w:tr>
      <w:tr w:rsidR="00223A6F" w:rsidRPr="006C46BE" w:rsidTr="00223A6F">
        <w:trPr>
          <w:trHeight w:val="255"/>
        </w:trPr>
        <w:tc>
          <w:tcPr>
            <w:tcW w:w="3958"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rPr>
                <w:rFonts w:cs="Arial"/>
                <w:sz w:val="22"/>
                <w:szCs w:val="22"/>
                <w:lang w:eastAsia="en-GB"/>
              </w:rPr>
            </w:pPr>
            <w:r w:rsidRPr="006C46BE">
              <w:rPr>
                <w:rFonts w:cs="Arial"/>
                <w:sz w:val="22"/>
                <w:szCs w:val="22"/>
                <w:lang w:eastAsia="en-GB"/>
              </w:rPr>
              <w:t xml:space="preserve">Housing </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1,368</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331</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329</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(2)</w:t>
            </w:r>
          </w:p>
        </w:tc>
      </w:tr>
      <w:tr w:rsidR="00223A6F" w:rsidRPr="006C46BE" w:rsidTr="00223A6F">
        <w:trPr>
          <w:trHeight w:val="255"/>
        </w:trPr>
        <w:tc>
          <w:tcPr>
            <w:tcW w:w="3958"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rPr>
                <w:rFonts w:cs="Arial"/>
                <w:sz w:val="22"/>
                <w:szCs w:val="22"/>
                <w:highlight w:val="yellow"/>
                <w:lang w:eastAsia="en-GB"/>
              </w:rPr>
            </w:pPr>
            <w:r w:rsidRPr="006C46BE">
              <w:rPr>
                <w:rFonts w:cs="Arial"/>
                <w:sz w:val="22"/>
                <w:szCs w:val="22"/>
                <w:lang w:eastAsia="en-GB"/>
              </w:rPr>
              <w:t>Community Development</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1,738</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430</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420</w:t>
            </w:r>
          </w:p>
        </w:tc>
        <w:tc>
          <w:tcPr>
            <w:tcW w:w="1134"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right"/>
              <w:rPr>
                <w:rFonts w:cs="Arial"/>
                <w:sz w:val="22"/>
                <w:szCs w:val="22"/>
                <w:lang w:eastAsia="en-GB"/>
              </w:rPr>
            </w:pPr>
            <w:r w:rsidRPr="006C46BE">
              <w:rPr>
                <w:rFonts w:cs="Arial"/>
                <w:sz w:val="22"/>
                <w:szCs w:val="22"/>
                <w:lang w:eastAsia="en-GB"/>
              </w:rPr>
              <w:t>(10)</w:t>
            </w:r>
          </w:p>
        </w:tc>
      </w:tr>
      <w:tr w:rsidR="00223A6F" w:rsidRPr="006C46BE" w:rsidTr="00223A6F">
        <w:trPr>
          <w:trHeight w:val="255"/>
        </w:trPr>
        <w:tc>
          <w:tcPr>
            <w:tcW w:w="3958"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rPr>
                <w:rFonts w:cs="Arial"/>
                <w:b/>
                <w:sz w:val="22"/>
                <w:szCs w:val="22"/>
                <w:lang w:eastAsia="en-GB"/>
              </w:rPr>
            </w:pPr>
            <w:r w:rsidRPr="006C46BE">
              <w:rPr>
                <w:rFonts w:cs="Arial"/>
                <w:b/>
                <w:sz w:val="22"/>
                <w:szCs w:val="22"/>
                <w:lang w:eastAsia="en-GB"/>
              </w:rPr>
              <w:t>Total</w:t>
            </w:r>
          </w:p>
        </w:tc>
        <w:tc>
          <w:tcPr>
            <w:tcW w:w="1134" w:type="dxa"/>
            <w:tcBorders>
              <w:top w:val="single" w:sz="4" w:space="0" w:color="auto"/>
              <w:left w:val="dotted" w:sz="4" w:space="0" w:color="auto"/>
              <w:bottom w:val="single" w:sz="4" w:space="0" w:color="auto"/>
              <w:right w:val="dotted" w:sz="4" w:space="0" w:color="auto"/>
            </w:tcBorders>
            <w:vAlign w:val="center"/>
            <w:hideMark/>
          </w:tcPr>
          <w:p w:rsidR="00223A6F" w:rsidRPr="006C46BE" w:rsidRDefault="00223A6F">
            <w:pPr>
              <w:ind w:left="720" w:hanging="720"/>
              <w:jc w:val="right"/>
              <w:rPr>
                <w:rFonts w:cs="Arial"/>
                <w:b/>
                <w:sz w:val="22"/>
                <w:szCs w:val="22"/>
                <w:lang w:eastAsia="en-GB"/>
              </w:rPr>
            </w:pPr>
            <w:r w:rsidRPr="006C46BE">
              <w:rPr>
                <w:rFonts w:cs="Arial"/>
                <w:b/>
                <w:sz w:val="22"/>
                <w:szCs w:val="22"/>
                <w:lang w:eastAsia="en-GB"/>
              </w:rPr>
              <w:t>10,179</w:t>
            </w:r>
          </w:p>
        </w:tc>
        <w:tc>
          <w:tcPr>
            <w:tcW w:w="1134" w:type="dxa"/>
            <w:tcBorders>
              <w:top w:val="single" w:sz="4" w:space="0" w:color="auto"/>
              <w:left w:val="dotted" w:sz="4" w:space="0" w:color="auto"/>
              <w:bottom w:val="single" w:sz="4" w:space="0" w:color="auto"/>
              <w:right w:val="dotted" w:sz="4" w:space="0" w:color="auto"/>
            </w:tcBorders>
            <w:noWrap/>
            <w:vAlign w:val="center"/>
            <w:hideMark/>
          </w:tcPr>
          <w:p w:rsidR="00223A6F" w:rsidRPr="006C46BE" w:rsidRDefault="00223A6F">
            <w:pPr>
              <w:ind w:left="720" w:hanging="720"/>
              <w:jc w:val="right"/>
              <w:rPr>
                <w:rFonts w:cs="Arial"/>
                <w:b/>
                <w:sz w:val="22"/>
                <w:szCs w:val="22"/>
                <w:lang w:eastAsia="en-GB"/>
              </w:rPr>
            </w:pPr>
            <w:r w:rsidRPr="006C46BE">
              <w:rPr>
                <w:rFonts w:cs="Arial"/>
                <w:b/>
                <w:sz w:val="22"/>
                <w:szCs w:val="22"/>
                <w:lang w:eastAsia="en-GB"/>
              </w:rPr>
              <w:t>2,491</w:t>
            </w:r>
          </w:p>
        </w:tc>
        <w:tc>
          <w:tcPr>
            <w:tcW w:w="1134" w:type="dxa"/>
            <w:tcBorders>
              <w:top w:val="single" w:sz="4" w:space="0" w:color="auto"/>
              <w:left w:val="dotted" w:sz="4" w:space="0" w:color="auto"/>
              <w:bottom w:val="single" w:sz="4" w:space="0" w:color="auto"/>
              <w:right w:val="dotted" w:sz="4" w:space="0" w:color="auto"/>
            </w:tcBorders>
            <w:vAlign w:val="center"/>
            <w:hideMark/>
          </w:tcPr>
          <w:p w:rsidR="00223A6F" w:rsidRPr="006C46BE" w:rsidRDefault="00223A6F">
            <w:pPr>
              <w:ind w:left="720" w:hanging="720"/>
              <w:jc w:val="right"/>
              <w:rPr>
                <w:rFonts w:cs="Arial"/>
                <w:b/>
                <w:sz w:val="22"/>
                <w:szCs w:val="22"/>
                <w:lang w:eastAsia="en-GB"/>
              </w:rPr>
            </w:pPr>
            <w:r w:rsidRPr="006C46BE">
              <w:rPr>
                <w:rFonts w:cs="Arial"/>
                <w:b/>
                <w:sz w:val="22"/>
                <w:szCs w:val="22"/>
                <w:lang w:eastAsia="en-GB"/>
              </w:rPr>
              <w:t>2,550</w:t>
            </w:r>
          </w:p>
        </w:tc>
        <w:tc>
          <w:tcPr>
            <w:tcW w:w="1134" w:type="dxa"/>
            <w:tcBorders>
              <w:top w:val="single" w:sz="4" w:space="0" w:color="auto"/>
              <w:left w:val="dotted" w:sz="4" w:space="0" w:color="auto"/>
              <w:bottom w:val="single" w:sz="4" w:space="0" w:color="auto"/>
              <w:right w:val="dotted" w:sz="4" w:space="0" w:color="auto"/>
            </w:tcBorders>
            <w:vAlign w:val="center"/>
            <w:hideMark/>
          </w:tcPr>
          <w:p w:rsidR="00223A6F" w:rsidRPr="006C46BE" w:rsidRDefault="00223A6F">
            <w:pPr>
              <w:ind w:left="720" w:hanging="720"/>
              <w:jc w:val="right"/>
              <w:rPr>
                <w:rFonts w:cs="Arial"/>
                <w:b/>
                <w:sz w:val="22"/>
                <w:szCs w:val="22"/>
                <w:lang w:eastAsia="en-GB"/>
              </w:rPr>
            </w:pPr>
            <w:r w:rsidRPr="006C46BE">
              <w:rPr>
                <w:rFonts w:cs="Arial"/>
                <w:b/>
                <w:sz w:val="22"/>
                <w:szCs w:val="22"/>
                <w:lang w:eastAsia="en-GB"/>
              </w:rPr>
              <w:t>59</w:t>
            </w:r>
          </w:p>
        </w:tc>
      </w:tr>
    </w:tbl>
    <w:p w:rsidR="00381F0C" w:rsidRDefault="00381F0C" w:rsidP="00223A6F">
      <w:pPr>
        <w:ind w:left="709" w:hanging="709"/>
        <w:rPr>
          <w:rFonts w:cs="Arial"/>
          <w:sz w:val="22"/>
          <w:szCs w:val="22"/>
        </w:rPr>
      </w:pPr>
    </w:p>
    <w:p w:rsidR="00223A6F" w:rsidRPr="006C46BE" w:rsidRDefault="00223A6F" w:rsidP="00223A6F">
      <w:pPr>
        <w:ind w:left="709" w:hanging="709"/>
        <w:rPr>
          <w:rFonts w:cs="Arial"/>
          <w:sz w:val="22"/>
          <w:szCs w:val="22"/>
        </w:rPr>
      </w:pPr>
      <w:r w:rsidRPr="006C46BE">
        <w:rPr>
          <w:rFonts w:cs="Arial"/>
          <w:sz w:val="22"/>
          <w:szCs w:val="22"/>
        </w:rPr>
        <w:t>2.7</w:t>
      </w:r>
      <w:r w:rsidRPr="006C46BE">
        <w:rPr>
          <w:rFonts w:cs="Arial"/>
          <w:sz w:val="22"/>
          <w:szCs w:val="22"/>
        </w:rPr>
        <w:tab/>
        <w:t>A majority of this overspend comes from the non-achievement of the in-built savings target for Customer Services.  It is now anticipated that</w:t>
      </w:r>
      <w:r w:rsidR="003E380C">
        <w:rPr>
          <w:rFonts w:cs="Arial"/>
          <w:sz w:val="22"/>
          <w:szCs w:val="22"/>
        </w:rPr>
        <w:t>,</w:t>
      </w:r>
      <w:r w:rsidRPr="006C46BE">
        <w:rPr>
          <w:rFonts w:cs="Arial"/>
          <w:sz w:val="22"/>
          <w:szCs w:val="22"/>
        </w:rPr>
        <w:t xml:space="preserve"> for a host of reasons</w:t>
      </w:r>
      <w:r w:rsidR="009F1077">
        <w:rPr>
          <w:rFonts w:cs="Arial"/>
          <w:sz w:val="22"/>
          <w:szCs w:val="22"/>
        </w:rPr>
        <w:t>,</w:t>
      </w:r>
      <w:r w:rsidRPr="006C46BE">
        <w:rPr>
          <w:rFonts w:cs="Arial"/>
          <w:sz w:val="22"/>
          <w:szCs w:val="22"/>
        </w:rPr>
        <w:t xml:space="preserve"> the anticipated outturn will now be £276,000 greater than anticipated (mainly through the transfer of staff to the back office areas rather than making savings).  This figure has been included in </w:t>
      </w:r>
      <w:r w:rsidR="003E380C">
        <w:rPr>
          <w:rFonts w:cs="Arial"/>
          <w:sz w:val="22"/>
          <w:szCs w:val="22"/>
        </w:rPr>
        <w:t>t</w:t>
      </w:r>
      <w:r w:rsidRPr="006C46BE">
        <w:rPr>
          <w:rFonts w:cs="Arial"/>
          <w:sz w:val="22"/>
          <w:szCs w:val="22"/>
        </w:rPr>
        <w:t xml:space="preserve">able 2 above. </w:t>
      </w:r>
    </w:p>
    <w:p w:rsidR="00223A6F" w:rsidRPr="006C46BE" w:rsidRDefault="00223A6F" w:rsidP="00223A6F">
      <w:pPr>
        <w:ind w:left="720" w:hanging="720"/>
        <w:rPr>
          <w:rFonts w:cs="Arial"/>
          <w:sz w:val="22"/>
          <w:szCs w:val="22"/>
          <w:highlight w:val="yellow"/>
        </w:rPr>
      </w:pPr>
    </w:p>
    <w:p w:rsidR="00223A6F" w:rsidRPr="006C46BE" w:rsidRDefault="00223A6F" w:rsidP="00223A6F">
      <w:pPr>
        <w:pStyle w:val="ListParagraph"/>
        <w:numPr>
          <w:ilvl w:val="1"/>
          <w:numId w:val="31"/>
        </w:numPr>
        <w:tabs>
          <w:tab w:val="left" w:pos="720"/>
        </w:tabs>
        <w:spacing w:after="0" w:line="240" w:lineRule="auto"/>
        <w:ind w:left="709" w:hanging="709"/>
        <w:rPr>
          <w:rFonts w:ascii="Arial" w:hAnsi="Arial" w:cs="Arial"/>
        </w:rPr>
      </w:pPr>
      <w:r w:rsidRPr="006C46BE">
        <w:rPr>
          <w:rFonts w:ascii="Arial" w:hAnsi="Arial" w:cs="Arial"/>
        </w:rPr>
        <w:t>The table set out belo</w:t>
      </w:r>
      <w:r w:rsidR="009F1077">
        <w:rPr>
          <w:rFonts w:ascii="Arial" w:hAnsi="Arial" w:cs="Arial"/>
        </w:rPr>
        <w:t>w shows the performance of the C</w:t>
      </w:r>
      <w:r w:rsidRPr="006C46BE">
        <w:rPr>
          <w:rFonts w:ascii="Arial" w:hAnsi="Arial" w:cs="Arial"/>
        </w:rPr>
        <w:t>ouncil’s key income drivers (excluding property).  Where these are anticipated to vary significantly from the budget, an estimate of the year end effect has been included in table 2 above accordingly.</w:t>
      </w:r>
    </w:p>
    <w:p w:rsidR="00223A6F" w:rsidRPr="006C46BE" w:rsidRDefault="00223A6F" w:rsidP="00223A6F">
      <w:pPr>
        <w:ind w:left="720" w:hanging="720"/>
        <w:rPr>
          <w:rFonts w:cs="Arial"/>
          <w:sz w:val="22"/>
          <w:szCs w:val="22"/>
        </w:rPr>
      </w:pPr>
    </w:p>
    <w:tbl>
      <w:tblPr>
        <w:tblW w:w="7502"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78"/>
        <w:gridCol w:w="1174"/>
        <w:gridCol w:w="1174"/>
        <w:gridCol w:w="1276"/>
      </w:tblGrid>
      <w:tr w:rsidR="00223A6F" w:rsidRPr="006C46BE" w:rsidTr="00223A6F">
        <w:trPr>
          <w:trHeight w:val="255"/>
        </w:trPr>
        <w:tc>
          <w:tcPr>
            <w:tcW w:w="7502" w:type="dxa"/>
            <w:gridSpan w:val="4"/>
            <w:tcBorders>
              <w:top w:val="dotted" w:sz="4" w:space="0" w:color="auto"/>
              <w:left w:val="dotted" w:sz="4" w:space="0" w:color="auto"/>
              <w:bottom w:val="dotted" w:sz="4" w:space="0" w:color="auto"/>
              <w:right w:val="dotted" w:sz="4" w:space="0" w:color="auto"/>
            </w:tcBorders>
            <w:shd w:val="clear" w:color="auto" w:fill="BFBFBF" w:themeFill="background1" w:themeFillShade="BF"/>
            <w:noWrap/>
            <w:vAlign w:val="center"/>
            <w:hideMark/>
          </w:tcPr>
          <w:p w:rsidR="00223A6F" w:rsidRPr="006C46BE" w:rsidRDefault="00223A6F">
            <w:pPr>
              <w:ind w:left="720" w:hanging="720"/>
              <w:jc w:val="center"/>
              <w:rPr>
                <w:rFonts w:cs="Arial"/>
                <w:sz w:val="22"/>
                <w:szCs w:val="22"/>
                <w:lang w:eastAsia="en-GB"/>
              </w:rPr>
            </w:pPr>
            <w:r w:rsidRPr="006C46BE">
              <w:rPr>
                <w:rFonts w:cs="Arial"/>
                <w:b/>
                <w:bCs/>
                <w:sz w:val="22"/>
                <w:szCs w:val="22"/>
                <w:lang w:eastAsia="en-GB"/>
              </w:rPr>
              <w:t>Table 5 - Performance of key income drivers 2017/18</w:t>
            </w:r>
          </w:p>
        </w:tc>
      </w:tr>
      <w:tr w:rsidR="00223A6F" w:rsidRPr="006C46BE" w:rsidTr="00223A6F">
        <w:trPr>
          <w:trHeight w:val="255"/>
        </w:trPr>
        <w:tc>
          <w:tcPr>
            <w:tcW w:w="3946" w:type="dxa"/>
            <w:tcBorders>
              <w:top w:val="dotted" w:sz="4" w:space="0" w:color="auto"/>
              <w:left w:val="dotted" w:sz="4" w:space="0" w:color="auto"/>
              <w:bottom w:val="dotted" w:sz="4" w:space="0" w:color="auto"/>
              <w:right w:val="dotted" w:sz="4" w:space="0" w:color="auto"/>
            </w:tcBorders>
            <w:vAlign w:val="center"/>
          </w:tcPr>
          <w:p w:rsidR="00223A6F" w:rsidRPr="006C46BE" w:rsidRDefault="00223A6F">
            <w:pPr>
              <w:ind w:left="720" w:hanging="720"/>
              <w:rPr>
                <w:rFonts w:cs="Arial"/>
                <w:sz w:val="22"/>
                <w:szCs w:val="22"/>
                <w:lang w:eastAsia="en-GB"/>
              </w:rPr>
            </w:pPr>
          </w:p>
        </w:tc>
        <w:tc>
          <w:tcPr>
            <w:tcW w:w="1140" w:type="dxa"/>
            <w:tcBorders>
              <w:top w:val="dotted" w:sz="4" w:space="0" w:color="auto"/>
              <w:left w:val="dotted" w:sz="4" w:space="0" w:color="auto"/>
              <w:bottom w:val="dotted" w:sz="4" w:space="0" w:color="auto"/>
              <w:right w:val="dotted" w:sz="4" w:space="0" w:color="auto"/>
            </w:tcBorders>
            <w:vAlign w:val="center"/>
            <w:hideMark/>
          </w:tcPr>
          <w:p w:rsidR="00223A6F" w:rsidRPr="006C46BE" w:rsidRDefault="00223A6F">
            <w:pPr>
              <w:ind w:left="720" w:hanging="720"/>
              <w:jc w:val="center"/>
              <w:rPr>
                <w:rFonts w:cs="Arial"/>
                <w:b/>
                <w:sz w:val="22"/>
                <w:szCs w:val="22"/>
                <w:lang w:eastAsia="en-GB"/>
              </w:rPr>
            </w:pPr>
            <w:r w:rsidRPr="006C46BE">
              <w:rPr>
                <w:rFonts w:cs="Arial"/>
                <w:b/>
                <w:sz w:val="22"/>
                <w:szCs w:val="22"/>
                <w:lang w:eastAsia="en-GB"/>
              </w:rPr>
              <w:t>Original</w:t>
            </w:r>
          </w:p>
          <w:p w:rsidR="00223A6F" w:rsidRPr="006C46BE" w:rsidRDefault="00223A6F">
            <w:pPr>
              <w:ind w:left="720" w:hanging="720"/>
              <w:jc w:val="center"/>
              <w:rPr>
                <w:rFonts w:cs="Arial"/>
                <w:b/>
                <w:sz w:val="22"/>
                <w:szCs w:val="22"/>
                <w:lang w:eastAsia="en-GB"/>
              </w:rPr>
            </w:pPr>
            <w:r w:rsidRPr="006C46BE">
              <w:rPr>
                <w:rFonts w:cs="Arial"/>
                <w:b/>
                <w:sz w:val="22"/>
                <w:szCs w:val="22"/>
                <w:lang w:eastAsia="en-GB"/>
              </w:rPr>
              <w:t>Budget</w:t>
            </w:r>
          </w:p>
          <w:p w:rsidR="00223A6F" w:rsidRPr="006C46BE" w:rsidRDefault="00223A6F">
            <w:pPr>
              <w:ind w:left="720" w:hanging="720"/>
              <w:jc w:val="center"/>
              <w:rPr>
                <w:rFonts w:cs="Arial"/>
                <w:b/>
                <w:sz w:val="22"/>
                <w:szCs w:val="22"/>
                <w:lang w:eastAsia="en-GB"/>
              </w:rPr>
            </w:pPr>
            <w:r w:rsidRPr="006C46BE">
              <w:rPr>
                <w:rFonts w:cs="Arial"/>
                <w:b/>
                <w:sz w:val="22"/>
                <w:szCs w:val="22"/>
                <w:lang w:eastAsia="en-GB"/>
              </w:rPr>
              <w:t>£000</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center"/>
              <w:rPr>
                <w:rFonts w:cs="Arial"/>
                <w:b/>
                <w:bCs/>
                <w:sz w:val="22"/>
                <w:szCs w:val="22"/>
                <w:lang w:eastAsia="en-GB"/>
              </w:rPr>
            </w:pPr>
            <w:r w:rsidRPr="006C46BE">
              <w:rPr>
                <w:rFonts w:cs="Arial"/>
                <w:b/>
                <w:bCs/>
                <w:sz w:val="22"/>
                <w:szCs w:val="22"/>
                <w:lang w:eastAsia="en-GB"/>
              </w:rPr>
              <w:t>Profiled</w:t>
            </w:r>
          </w:p>
          <w:p w:rsidR="00223A6F" w:rsidRPr="006C46BE" w:rsidRDefault="00223A6F">
            <w:pPr>
              <w:ind w:left="720" w:hanging="720"/>
              <w:jc w:val="center"/>
              <w:rPr>
                <w:rFonts w:cs="Arial"/>
                <w:b/>
                <w:bCs/>
                <w:sz w:val="22"/>
                <w:szCs w:val="22"/>
                <w:lang w:eastAsia="en-GB"/>
              </w:rPr>
            </w:pPr>
            <w:r w:rsidRPr="006C46BE">
              <w:rPr>
                <w:rFonts w:cs="Arial"/>
                <w:b/>
                <w:bCs/>
                <w:sz w:val="22"/>
                <w:szCs w:val="22"/>
                <w:lang w:eastAsia="en-GB"/>
              </w:rPr>
              <w:t>Budget</w:t>
            </w:r>
          </w:p>
          <w:p w:rsidR="00223A6F" w:rsidRPr="006C46BE" w:rsidRDefault="00223A6F">
            <w:pPr>
              <w:ind w:left="720" w:hanging="720"/>
              <w:jc w:val="center"/>
              <w:rPr>
                <w:rFonts w:cs="Arial"/>
                <w:b/>
                <w:bCs/>
                <w:sz w:val="22"/>
                <w:szCs w:val="22"/>
                <w:lang w:eastAsia="en-GB"/>
              </w:rPr>
            </w:pPr>
            <w:r w:rsidRPr="006C46BE">
              <w:rPr>
                <w:rFonts w:cs="Arial"/>
                <w:b/>
                <w:bCs/>
                <w:sz w:val="22"/>
                <w:szCs w:val="22"/>
                <w:lang w:eastAsia="en-GB"/>
              </w:rPr>
              <w:t>£000</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center"/>
              <w:rPr>
                <w:rFonts w:cs="Arial"/>
                <w:b/>
                <w:bCs/>
                <w:sz w:val="22"/>
                <w:szCs w:val="22"/>
                <w:lang w:eastAsia="en-GB"/>
              </w:rPr>
            </w:pPr>
            <w:r w:rsidRPr="006C46BE">
              <w:rPr>
                <w:rFonts w:cs="Arial"/>
                <w:b/>
                <w:bCs/>
                <w:sz w:val="22"/>
                <w:szCs w:val="22"/>
                <w:lang w:eastAsia="en-GB"/>
              </w:rPr>
              <w:t>Actual</w:t>
            </w:r>
          </w:p>
          <w:p w:rsidR="00223A6F" w:rsidRPr="006C46BE" w:rsidRDefault="00223A6F">
            <w:pPr>
              <w:ind w:left="720" w:hanging="720"/>
              <w:jc w:val="center"/>
              <w:rPr>
                <w:rFonts w:cs="Arial"/>
                <w:b/>
                <w:bCs/>
                <w:sz w:val="22"/>
                <w:szCs w:val="22"/>
                <w:lang w:eastAsia="en-GB"/>
              </w:rPr>
            </w:pPr>
            <w:r w:rsidRPr="006C46BE">
              <w:rPr>
                <w:rFonts w:cs="Arial"/>
                <w:b/>
                <w:bCs/>
                <w:sz w:val="22"/>
                <w:szCs w:val="22"/>
                <w:lang w:eastAsia="en-GB"/>
              </w:rPr>
              <w:t>to Date</w:t>
            </w:r>
          </w:p>
          <w:p w:rsidR="00223A6F" w:rsidRPr="006C46BE" w:rsidRDefault="00223A6F">
            <w:pPr>
              <w:ind w:left="720" w:hanging="720"/>
              <w:jc w:val="center"/>
              <w:rPr>
                <w:rFonts w:cs="Arial"/>
                <w:b/>
                <w:bCs/>
                <w:sz w:val="22"/>
                <w:szCs w:val="22"/>
                <w:lang w:eastAsia="en-GB"/>
              </w:rPr>
            </w:pPr>
            <w:r w:rsidRPr="006C46BE">
              <w:rPr>
                <w:rFonts w:cs="Arial"/>
                <w:b/>
                <w:bCs/>
                <w:sz w:val="22"/>
                <w:szCs w:val="22"/>
                <w:lang w:eastAsia="en-GB"/>
              </w:rPr>
              <w:t>£000</w:t>
            </w:r>
          </w:p>
        </w:tc>
      </w:tr>
      <w:tr w:rsidR="00223A6F" w:rsidRPr="006C46BE" w:rsidTr="00223A6F">
        <w:trPr>
          <w:trHeight w:val="255"/>
        </w:trPr>
        <w:tc>
          <w:tcPr>
            <w:tcW w:w="3946" w:type="dxa"/>
            <w:tcBorders>
              <w:top w:val="dotted" w:sz="4" w:space="0" w:color="auto"/>
              <w:left w:val="dotted" w:sz="4" w:space="0" w:color="auto"/>
              <w:bottom w:val="dotted" w:sz="4" w:space="0" w:color="auto"/>
              <w:right w:val="dotted" w:sz="4" w:space="0" w:color="auto"/>
            </w:tcBorders>
            <w:vAlign w:val="bottom"/>
            <w:hideMark/>
          </w:tcPr>
          <w:p w:rsidR="00223A6F" w:rsidRPr="006C46BE" w:rsidRDefault="00223A6F">
            <w:pPr>
              <w:tabs>
                <w:tab w:val="left" w:pos="522"/>
              </w:tabs>
              <w:rPr>
                <w:rFonts w:cs="Arial"/>
                <w:sz w:val="22"/>
                <w:szCs w:val="22"/>
                <w:lang w:eastAsia="en-GB"/>
              </w:rPr>
            </w:pPr>
            <w:r w:rsidRPr="006C46BE">
              <w:rPr>
                <w:rFonts w:cs="Arial"/>
                <w:sz w:val="22"/>
                <w:szCs w:val="22"/>
                <w:lang w:eastAsia="en-GB"/>
              </w:rPr>
              <w:t>Halls income</w:t>
            </w:r>
          </w:p>
        </w:tc>
        <w:tc>
          <w:tcPr>
            <w:tcW w:w="1140" w:type="dxa"/>
            <w:tcBorders>
              <w:top w:val="dotted" w:sz="4" w:space="0" w:color="auto"/>
              <w:left w:val="dotted" w:sz="4" w:space="0" w:color="auto"/>
              <w:bottom w:val="dotted" w:sz="4" w:space="0" w:color="auto"/>
              <w:right w:val="dotted" w:sz="4" w:space="0" w:color="auto"/>
            </w:tcBorders>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145</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46</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45</w:t>
            </w:r>
          </w:p>
        </w:tc>
      </w:tr>
      <w:tr w:rsidR="00223A6F" w:rsidRPr="006C46BE" w:rsidTr="00223A6F">
        <w:trPr>
          <w:trHeight w:val="242"/>
        </w:trPr>
        <w:tc>
          <w:tcPr>
            <w:tcW w:w="3946" w:type="dxa"/>
            <w:tcBorders>
              <w:top w:val="dotted" w:sz="4" w:space="0" w:color="auto"/>
              <w:left w:val="dotted" w:sz="4" w:space="0" w:color="auto"/>
              <w:bottom w:val="dotted" w:sz="4" w:space="0" w:color="auto"/>
              <w:right w:val="dotted" w:sz="4" w:space="0" w:color="auto"/>
            </w:tcBorders>
            <w:vAlign w:val="bottom"/>
            <w:hideMark/>
          </w:tcPr>
          <w:p w:rsidR="00223A6F" w:rsidRPr="006C46BE" w:rsidRDefault="00223A6F">
            <w:pPr>
              <w:tabs>
                <w:tab w:val="left" w:pos="522"/>
              </w:tabs>
              <w:rPr>
                <w:rFonts w:cs="Arial"/>
                <w:sz w:val="22"/>
                <w:szCs w:val="22"/>
                <w:lang w:eastAsia="en-GB"/>
              </w:rPr>
            </w:pPr>
            <w:r w:rsidRPr="006C46BE">
              <w:rPr>
                <w:rFonts w:cs="Arial"/>
                <w:sz w:val="22"/>
                <w:szCs w:val="22"/>
                <w:lang w:eastAsia="en-GB"/>
              </w:rPr>
              <w:t>Cemetery income</w:t>
            </w:r>
          </w:p>
        </w:tc>
        <w:tc>
          <w:tcPr>
            <w:tcW w:w="1140" w:type="dxa"/>
            <w:tcBorders>
              <w:top w:val="dotted" w:sz="4" w:space="0" w:color="auto"/>
              <w:left w:val="dotted" w:sz="4" w:space="0" w:color="auto"/>
              <w:bottom w:val="dotted" w:sz="4" w:space="0" w:color="auto"/>
              <w:right w:val="dotted" w:sz="4" w:space="0" w:color="auto"/>
            </w:tcBorders>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209</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37</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52</w:t>
            </w:r>
          </w:p>
        </w:tc>
      </w:tr>
      <w:tr w:rsidR="00223A6F" w:rsidRPr="006C46BE" w:rsidTr="00223A6F">
        <w:trPr>
          <w:trHeight w:val="255"/>
        </w:trPr>
        <w:tc>
          <w:tcPr>
            <w:tcW w:w="3946" w:type="dxa"/>
            <w:tcBorders>
              <w:top w:val="dotted" w:sz="4" w:space="0" w:color="auto"/>
              <w:left w:val="dotted" w:sz="4" w:space="0" w:color="auto"/>
              <w:bottom w:val="dotted" w:sz="4" w:space="0" w:color="auto"/>
              <w:right w:val="dotted" w:sz="4" w:space="0" w:color="auto"/>
            </w:tcBorders>
            <w:vAlign w:val="bottom"/>
            <w:hideMark/>
          </w:tcPr>
          <w:p w:rsidR="00223A6F" w:rsidRPr="006C46BE" w:rsidRDefault="00223A6F">
            <w:pPr>
              <w:tabs>
                <w:tab w:val="left" w:pos="522"/>
              </w:tabs>
              <w:rPr>
                <w:rFonts w:cs="Arial"/>
                <w:sz w:val="22"/>
                <w:szCs w:val="22"/>
                <w:lang w:eastAsia="en-GB"/>
              </w:rPr>
            </w:pPr>
            <w:r w:rsidRPr="006C46BE">
              <w:rPr>
                <w:rFonts w:cs="Arial"/>
                <w:sz w:val="22"/>
                <w:szCs w:val="22"/>
                <w:lang w:eastAsia="en-GB"/>
              </w:rPr>
              <w:lastRenderedPageBreak/>
              <w:t>Community meals (Day Centre)</w:t>
            </w:r>
          </w:p>
        </w:tc>
        <w:tc>
          <w:tcPr>
            <w:tcW w:w="1140" w:type="dxa"/>
            <w:tcBorders>
              <w:top w:val="dotted" w:sz="4" w:space="0" w:color="auto"/>
              <w:left w:val="dotted" w:sz="4" w:space="0" w:color="auto"/>
              <w:bottom w:val="dotted" w:sz="4" w:space="0" w:color="auto"/>
              <w:right w:val="dotted" w:sz="4" w:space="0" w:color="auto"/>
            </w:tcBorders>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169</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40</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36</w:t>
            </w:r>
          </w:p>
        </w:tc>
      </w:tr>
      <w:tr w:rsidR="00223A6F" w:rsidRPr="006C46BE" w:rsidTr="00223A6F">
        <w:trPr>
          <w:trHeight w:val="255"/>
        </w:trPr>
        <w:tc>
          <w:tcPr>
            <w:tcW w:w="3946" w:type="dxa"/>
            <w:tcBorders>
              <w:top w:val="dotted" w:sz="4" w:space="0" w:color="auto"/>
              <w:left w:val="dotted" w:sz="4" w:space="0" w:color="auto"/>
              <w:bottom w:val="dotted" w:sz="4" w:space="0" w:color="auto"/>
              <w:right w:val="dotted" w:sz="4" w:space="0" w:color="auto"/>
            </w:tcBorders>
            <w:vAlign w:val="bottom"/>
            <w:hideMark/>
          </w:tcPr>
          <w:p w:rsidR="00223A6F" w:rsidRPr="006C46BE" w:rsidRDefault="00223A6F">
            <w:pPr>
              <w:tabs>
                <w:tab w:val="left" w:pos="522"/>
              </w:tabs>
              <w:rPr>
                <w:rFonts w:cs="Arial"/>
                <w:sz w:val="22"/>
                <w:szCs w:val="22"/>
                <w:lang w:eastAsia="en-GB"/>
              </w:rPr>
            </w:pPr>
            <w:r w:rsidRPr="006C46BE">
              <w:rPr>
                <w:rFonts w:cs="Arial"/>
                <w:sz w:val="22"/>
                <w:szCs w:val="22"/>
                <w:lang w:eastAsia="en-GB"/>
              </w:rPr>
              <w:t>Community meals (Meals at Home)</w:t>
            </w:r>
          </w:p>
        </w:tc>
        <w:tc>
          <w:tcPr>
            <w:tcW w:w="1140" w:type="dxa"/>
            <w:tcBorders>
              <w:top w:val="dotted" w:sz="4" w:space="0" w:color="auto"/>
              <w:left w:val="dotted" w:sz="4" w:space="0" w:color="auto"/>
              <w:bottom w:val="dotted" w:sz="4" w:space="0" w:color="auto"/>
              <w:right w:val="dotted" w:sz="4" w:space="0" w:color="auto"/>
            </w:tcBorders>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157</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27</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41</w:t>
            </w:r>
          </w:p>
        </w:tc>
      </w:tr>
      <w:tr w:rsidR="00223A6F" w:rsidRPr="006C46BE" w:rsidTr="00223A6F">
        <w:trPr>
          <w:trHeight w:val="255"/>
        </w:trPr>
        <w:tc>
          <w:tcPr>
            <w:tcW w:w="3946" w:type="dxa"/>
            <w:tcBorders>
              <w:top w:val="dotted" w:sz="4" w:space="0" w:color="auto"/>
              <w:left w:val="dotted" w:sz="4" w:space="0" w:color="auto"/>
              <w:bottom w:val="dotted" w:sz="4" w:space="0" w:color="auto"/>
              <w:right w:val="dotted" w:sz="4" w:space="0" w:color="auto"/>
            </w:tcBorders>
            <w:vAlign w:val="bottom"/>
            <w:hideMark/>
          </w:tcPr>
          <w:p w:rsidR="00223A6F" w:rsidRPr="006C46BE" w:rsidRDefault="00223A6F">
            <w:pPr>
              <w:tabs>
                <w:tab w:val="left" w:pos="522"/>
              </w:tabs>
              <w:rPr>
                <w:rFonts w:cs="Arial"/>
                <w:sz w:val="22"/>
                <w:szCs w:val="22"/>
                <w:lang w:eastAsia="en-GB"/>
              </w:rPr>
            </w:pPr>
            <w:r w:rsidRPr="006C46BE">
              <w:rPr>
                <w:rFonts w:cs="Arial"/>
                <w:sz w:val="22"/>
                <w:szCs w:val="22"/>
                <w:lang w:eastAsia="en-GB"/>
              </w:rPr>
              <w:t>Trade waste income</w:t>
            </w:r>
          </w:p>
        </w:tc>
        <w:tc>
          <w:tcPr>
            <w:tcW w:w="1140" w:type="dxa"/>
            <w:tcBorders>
              <w:top w:val="dotted" w:sz="4" w:space="0" w:color="auto"/>
              <w:left w:val="dotted" w:sz="4" w:space="0" w:color="auto"/>
              <w:bottom w:val="dotted" w:sz="4" w:space="0" w:color="auto"/>
              <w:right w:val="dotted" w:sz="4" w:space="0" w:color="auto"/>
            </w:tcBorders>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480</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326</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304</w:t>
            </w:r>
          </w:p>
        </w:tc>
      </w:tr>
      <w:tr w:rsidR="00223A6F" w:rsidRPr="006C46BE" w:rsidTr="00223A6F">
        <w:trPr>
          <w:trHeight w:val="255"/>
        </w:trPr>
        <w:tc>
          <w:tcPr>
            <w:tcW w:w="3946" w:type="dxa"/>
            <w:tcBorders>
              <w:top w:val="dotted" w:sz="4" w:space="0" w:color="auto"/>
              <w:left w:val="dotted" w:sz="4" w:space="0" w:color="auto"/>
              <w:bottom w:val="dotted" w:sz="4" w:space="0" w:color="auto"/>
              <w:right w:val="dotted" w:sz="4" w:space="0" w:color="auto"/>
            </w:tcBorders>
            <w:vAlign w:val="bottom"/>
            <w:hideMark/>
          </w:tcPr>
          <w:p w:rsidR="00223A6F" w:rsidRPr="006C46BE" w:rsidRDefault="00223A6F">
            <w:pPr>
              <w:tabs>
                <w:tab w:val="left" w:pos="522"/>
              </w:tabs>
              <w:rPr>
                <w:rFonts w:cs="Arial"/>
                <w:sz w:val="22"/>
                <w:szCs w:val="22"/>
                <w:lang w:eastAsia="en-GB"/>
              </w:rPr>
            </w:pPr>
            <w:r w:rsidRPr="006C46BE">
              <w:rPr>
                <w:rFonts w:cs="Arial"/>
                <w:sz w:val="22"/>
                <w:szCs w:val="22"/>
                <w:lang w:eastAsia="en-GB"/>
              </w:rPr>
              <w:t>Off street parking P&amp;D  income</w:t>
            </w:r>
          </w:p>
        </w:tc>
        <w:tc>
          <w:tcPr>
            <w:tcW w:w="1140" w:type="dxa"/>
            <w:tcBorders>
              <w:top w:val="dotted" w:sz="4" w:space="0" w:color="auto"/>
              <w:left w:val="dotted" w:sz="4" w:space="0" w:color="auto"/>
              <w:bottom w:val="dotted" w:sz="4" w:space="0" w:color="auto"/>
              <w:right w:val="dotted" w:sz="4" w:space="0" w:color="auto"/>
            </w:tcBorders>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485</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111</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121</w:t>
            </w:r>
          </w:p>
        </w:tc>
      </w:tr>
      <w:tr w:rsidR="00223A6F" w:rsidRPr="006C46BE" w:rsidTr="00223A6F">
        <w:trPr>
          <w:trHeight w:val="255"/>
        </w:trPr>
        <w:tc>
          <w:tcPr>
            <w:tcW w:w="3946" w:type="dxa"/>
            <w:tcBorders>
              <w:top w:val="dotted" w:sz="4" w:space="0" w:color="auto"/>
              <w:left w:val="dotted" w:sz="4" w:space="0" w:color="auto"/>
              <w:bottom w:val="dotted" w:sz="4" w:space="0" w:color="auto"/>
              <w:right w:val="dotted" w:sz="4" w:space="0" w:color="auto"/>
            </w:tcBorders>
            <w:vAlign w:val="bottom"/>
            <w:hideMark/>
          </w:tcPr>
          <w:p w:rsidR="00223A6F" w:rsidRPr="006C46BE" w:rsidRDefault="00223A6F">
            <w:pPr>
              <w:tabs>
                <w:tab w:val="left" w:pos="522"/>
              </w:tabs>
              <w:rPr>
                <w:rFonts w:cs="Arial"/>
                <w:sz w:val="22"/>
                <w:szCs w:val="22"/>
                <w:lang w:eastAsia="en-GB"/>
              </w:rPr>
            </w:pPr>
            <w:r w:rsidRPr="006C46BE">
              <w:rPr>
                <w:rFonts w:cs="Arial"/>
                <w:sz w:val="22"/>
                <w:szCs w:val="22"/>
                <w:lang w:eastAsia="en-GB"/>
              </w:rPr>
              <w:t>Planning fees</w:t>
            </w:r>
          </w:p>
        </w:tc>
        <w:tc>
          <w:tcPr>
            <w:tcW w:w="1140" w:type="dxa"/>
            <w:tcBorders>
              <w:top w:val="dotted" w:sz="4" w:space="0" w:color="auto"/>
              <w:left w:val="dotted" w:sz="4" w:space="0" w:color="auto"/>
              <w:bottom w:val="dotted" w:sz="4" w:space="0" w:color="auto"/>
              <w:right w:val="dotted" w:sz="4" w:space="0" w:color="auto"/>
            </w:tcBorders>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700</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175</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133</w:t>
            </w:r>
          </w:p>
        </w:tc>
      </w:tr>
      <w:tr w:rsidR="00223A6F" w:rsidRPr="006C46BE" w:rsidTr="00223A6F">
        <w:trPr>
          <w:trHeight w:val="255"/>
        </w:trPr>
        <w:tc>
          <w:tcPr>
            <w:tcW w:w="3946" w:type="dxa"/>
            <w:tcBorders>
              <w:top w:val="dotted" w:sz="4" w:space="0" w:color="auto"/>
              <w:left w:val="dotted" w:sz="4" w:space="0" w:color="auto"/>
              <w:bottom w:val="dotted" w:sz="4" w:space="0" w:color="auto"/>
              <w:right w:val="dotted" w:sz="4" w:space="0" w:color="auto"/>
            </w:tcBorders>
            <w:vAlign w:val="bottom"/>
            <w:hideMark/>
          </w:tcPr>
          <w:p w:rsidR="00223A6F" w:rsidRPr="006C46BE" w:rsidRDefault="00223A6F">
            <w:pPr>
              <w:tabs>
                <w:tab w:val="left" w:pos="522"/>
              </w:tabs>
              <w:rPr>
                <w:rFonts w:cs="Arial"/>
                <w:sz w:val="22"/>
                <w:szCs w:val="22"/>
                <w:lang w:eastAsia="en-GB"/>
              </w:rPr>
            </w:pPr>
            <w:r w:rsidRPr="006C46BE">
              <w:rPr>
                <w:rFonts w:cs="Arial"/>
                <w:sz w:val="22"/>
                <w:szCs w:val="22"/>
                <w:lang w:eastAsia="en-GB"/>
              </w:rPr>
              <w:t>Local land charge search fees</w:t>
            </w:r>
          </w:p>
        </w:tc>
        <w:tc>
          <w:tcPr>
            <w:tcW w:w="1140" w:type="dxa"/>
            <w:tcBorders>
              <w:top w:val="dotted" w:sz="4" w:space="0" w:color="auto"/>
              <w:left w:val="dotted" w:sz="4" w:space="0" w:color="auto"/>
              <w:bottom w:val="dotted" w:sz="4" w:space="0" w:color="auto"/>
              <w:right w:val="dotted" w:sz="4" w:space="0" w:color="auto"/>
            </w:tcBorders>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235</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60</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590"/>
              <w:jc w:val="right"/>
              <w:rPr>
                <w:rFonts w:cs="Arial"/>
                <w:sz w:val="22"/>
                <w:szCs w:val="22"/>
                <w:lang w:eastAsia="en-GB"/>
              </w:rPr>
            </w:pPr>
            <w:r w:rsidRPr="006C46BE">
              <w:rPr>
                <w:rFonts w:cs="Arial"/>
                <w:sz w:val="22"/>
                <w:szCs w:val="22"/>
                <w:lang w:eastAsia="en-GB"/>
              </w:rPr>
              <w:t>61</w:t>
            </w:r>
          </w:p>
        </w:tc>
      </w:tr>
      <w:tr w:rsidR="00223A6F" w:rsidRPr="006C46BE" w:rsidTr="00223A6F">
        <w:trPr>
          <w:trHeight w:val="255"/>
        </w:trPr>
        <w:tc>
          <w:tcPr>
            <w:tcW w:w="3946" w:type="dxa"/>
            <w:tcBorders>
              <w:top w:val="dotted" w:sz="4" w:space="0" w:color="auto"/>
              <w:left w:val="dotted" w:sz="4" w:space="0" w:color="auto"/>
              <w:bottom w:val="dotted" w:sz="4" w:space="0" w:color="auto"/>
              <w:right w:val="dotted" w:sz="4" w:space="0" w:color="auto"/>
            </w:tcBorders>
            <w:vAlign w:val="bottom"/>
            <w:hideMark/>
          </w:tcPr>
          <w:p w:rsidR="00223A6F" w:rsidRPr="006C46BE" w:rsidRDefault="00223A6F">
            <w:pPr>
              <w:tabs>
                <w:tab w:val="left" w:pos="522"/>
              </w:tabs>
              <w:rPr>
                <w:rFonts w:cs="Arial"/>
                <w:b/>
                <w:sz w:val="22"/>
                <w:szCs w:val="22"/>
                <w:lang w:eastAsia="en-GB"/>
              </w:rPr>
            </w:pPr>
            <w:r w:rsidRPr="006C46BE">
              <w:rPr>
                <w:rFonts w:cs="Arial"/>
                <w:b/>
                <w:sz w:val="22"/>
                <w:szCs w:val="22"/>
                <w:lang w:eastAsia="en-GB"/>
              </w:rPr>
              <w:t>TOTALS</w:t>
            </w:r>
          </w:p>
        </w:tc>
        <w:tc>
          <w:tcPr>
            <w:tcW w:w="1140" w:type="dxa"/>
            <w:tcBorders>
              <w:top w:val="dotted" w:sz="4" w:space="0" w:color="auto"/>
              <w:left w:val="dotted" w:sz="4" w:space="0" w:color="auto"/>
              <w:bottom w:val="dotted" w:sz="4" w:space="0" w:color="auto"/>
              <w:right w:val="dotted" w:sz="4" w:space="0" w:color="auto"/>
            </w:tcBorders>
            <w:vAlign w:val="bottom"/>
            <w:hideMark/>
          </w:tcPr>
          <w:p w:rsidR="00223A6F" w:rsidRPr="006C46BE" w:rsidRDefault="00223A6F">
            <w:pPr>
              <w:jc w:val="right"/>
              <w:rPr>
                <w:rFonts w:cs="Arial"/>
                <w:b/>
                <w:sz w:val="22"/>
                <w:szCs w:val="22"/>
              </w:rPr>
            </w:pPr>
            <w:r w:rsidRPr="006C46BE">
              <w:rPr>
                <w:rFonts w:cs="Arial"/>
                <w:b/>
                <w:sz w:val="22"/>
                <w:szCs w:val="22"/>
              </w:rPr>
              <w:t>2,580</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jc w:val="right"/>
              <w:rPr>
                <w:rFonts w:cs="Arial"/>
                <w:b/>
                <w:sz w:val="22"/>
                <w:szCs w:val="22"/>
              </w:rPr>
            </w:pPr>
            <w:r w:rsidRPr="006C46BE">
              <w:rPr>
                <w:rFonts w:cs="Arial"/>
                <w:b/>
                <w:sz w:val="22"/>
                <w:szCs w:val="22"/>
              </w:rPr>
              <w:t>822</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jc w:val="right"/>
              <w:rPr>
                <w:rFonts w:cs="Arial"/>
                <w:b/>
                <w:sz w:val="22"/>
                <w:szCs w:val="22"/>
              </w:rPr>
            </w:pPr>
            <w:r w:rsidRPr="006C46BE">
              <w:rPr>
                <w:rFonts w:cs="Arial"/>
                <w:b/>
                <w:sz w:val="22"/>
                <w:szCs w:val="22"/>
              </w:rPr>
              <w:t>793</w:t>
            </w:r>
          </w:p>
        </w:tc>
      </w:tr>
    </w:tbl>
    <w:p w:rsidR="00223A6F" w:rsidRPr="006C46BE" w:rsidRDefault="00223A6F" w:rsidP="00223A6F">
      <w:pPr>
        <w:ind w:left="720" w:hanging="720"/>
        <w:rPr>
          <w:rFonts w:cs="Arial"/>
          <w:sz w:val="22"/>
          <w:szCs w:val="22"/>
        </w:rPr>
      </w:pPr>
    </w:p>
    <w:p w:rsidR="00223A6F" w:rsidRPr="006C46BE" w:rsidRDefault="00223A6F" w:rsidP="00223A6F">
      <w:pPr>
        <w:ind w:left="720" w:hanging="720"/>
        <w:rPr>
          <w:rFonts w:cs="Arial"/>
          <w:sz w:val="22"/>
          <w:szCs w:val="22"/>
          <w:u w:val="single"/>
        </w:rPr>
      </w:pPr>
      <w:r w:rsidRPr="006C46BE">
        <w:rPr>
          <w:rFonts w:cs="Arial"/>
          <w:sz w:val="22"/>
          <w:szCs w:val="22"/>
        </w:rPr>
        <w:tab/>
      </w:r>
      <w:r w:rsidRPr="006C46BE">
        <w:rPr>
          <w:rFonts w:cs="Arial"/>
          <w:sz w:val="22"/>
          <w:szCs w:val="22"/>
          <w:u w:val="single"/>
        </w:rPr>
        <w:t>Treasury and Financing</w:t>
      </w:r>
    </w:p>
    <w:p w:rsidR="00223A6F" w:rsidRPr="006C46BE" w:rsidRDefault="00223A6F" w:rsidP="00223A6F">
      <w:pPr>
        <w:ind w:left="720" w:hanging="720"/>
        <w:rPr>
          <w:rFonts w:cs="Arial"/>
          <w:sz w:val="22"/>
          <w:szCs w:val="22"/>
          <w:u w:val="single"/>
        </w:rPr>
      </w:pPr>
    </w:p>
    <w:p w:rsidR="00223A6F" w:rsidRPr="006C46BE" w:rsidRDefault="00223A6F" w:rsidP="00223A6F">
      <w:pPr>
        <w:ind w:left="720" w:hanging="720"/>
        <w:rPr>
          <w:rFonts w:cs="Arial"/>
          <w:sz w:val="22"/>
          <w:szCs w:val="22"/>
        </w:rPr>
      </w:pPr>
      <w:r w:rsidRPr="006C46BE">
        <w:rPr>
          <w:rFonts w:cs="Arial"/>
          <w:sz w:val="22"/>
          <w:szCs w:val="22"/>
        </w:rPr>
        <w:t>2.9</w:t>
      </w:r>
      <w:r w:rsidRPr="006C46BE">
        <w:rPr>
          <w:rFonts w:cs="Arial"/>
          <w:sz w:val="22"/>
          <w:szCs w:val="22"/>
        </w:rPr>
        <w:tab/>
        <w:t>The 2017/18 Treasury Management Strateg</w:t>
      </w:r>
      <w:r w:rsidR="009F1077">
        <w:rPr>
          <w:rFonts w:cs="Arial"/>
          <w:sz w:val="22"/>
          <w:szCs w:val="22"/>
        </w:rPr>
        <w:t>y report was presented to this C</w:t>
      </w:r>
      <w:r w:rsidRPr="006C46BE">
        <w:rPr>
          <w:rFonts w:cs="Arial"/>
          <w:sz w:val="22"/>
          <w:szCs w:val="22"/>
        </w:rPr>
        <w:t xml:space="preserve">ommittee at the end of February 2017. </w:t>
      </w:r>
    </w:p>
    <w:p w:rsidR="00223A6F" w:rsidRPr="006C46BE" w:rsidRDefault="00223A6F" w:rsidP="00223A6F">
      <w:pPr>
        <w:ind w:left="720" w:hanging="720"/>
        <w:rPr>
          <w:rFonts w:cs="Arial"/>
          <w:sz w:val="22"/>
          <w:szCs w:val="22"/>
        </w:rPr>
      </w:pPr>
    </w:p>
    <w:p w:rsidR="00223A6F" w:rsidRPr="006C46BE" w:rsidRDefault="00223A6F" w:rsidP="00223A6F">
      <w:pPr>
        <w:pStyle w:val="ListParagraph"/>
        <w:numPr>
          <w:ilvl w:val="1"/>
          <w:numId w:val="32"/>
        </w:numPr>
        <w:spacing w:after="0" w:line="240" w:lineRule="auto"/>
        <w:ind w:left="709" w:hanging="709"/>
        <w:rPr>
          <w:rFonts w:ascii="Arial" w:hAnsi="Arial" w:cs="Arial"/>
        </w:rPr>
      </w:pPr>
      <w:r w:rsidRPr="006C46BE">
        <w:rPr>
          <w:rFonts w:ascii="Arial" w:hAnsi="Arial" w:cs="Arial"/>
        </w:rPr>
        <w:t xml:space="preserve">During 2016/17 </w:t>
      </w:r>
      <w:r w:rsidR="003E380C">
        <w:rPr>
          <w:rFonts w:ascii="Arial" w:hAnsi="Arial" w:cs="Arial"/>
        </w:rPr>
        <w:t>O</w:t>
      </w:r>
      <w:r w:rsidRPr="006C46BE">
        <w:rPr>
          <w:rFonts w:ascii="Arial" w:hAnsi="Arial" w:cs="Arial"/>
        </w:rPr>
        <w:t xml:space="preserve">fficers managed to delay much of the planned external borrowing by utilising positive </w:t>
      </w:r>
      <w:proofErr w:type="spellStart"/>
      <w:r w:rsidRPr="006C46BE">
        <w:rPr>
          <w:rFonts w:ascii="Arial" w:hAnsi="Arial" w:cs="Arial"/>
        </w:rPr>
        <w:t>cashflows</w:t>
      </w:r>
      <w:proofErr w:type="spellEnd"/>
      <w:r w:rsidRPr="006C46BE">
        <w:rPr>
          <w:rFonts w:ascii="Arial" w:hAnsi="Arial" w:cs="Arial"/>
        </w:rPr>
        <w:t xml:space="preserve"> (creditors, receipts in advance </w:t>
      </w:r>
      <w:proofErr w:type="spellStart"/>
      <w:r w:rsidRPr="006C46BE">
        <w:rPr>
          <w:rFonts w:ascii="Arial" w:hAnsi="Arial" w:cs="Arial"/>
        </w:rPr>
        <w:t>etc</w:t>
      </w:r>
      <w:proofErr w:type="spellEnd"/>
      <w:r w:rsidRPr="006C46BE">
        <w:rPr>
          <w:rFonts w:ascii="Arial" w:hAnsi="Arial" w:cs="Arial"/>
        </w:rPr>
        <w:t xml:space="preserve">) and borrowing internally (collection fund balances </w:t>
      </w:r>
      <w:proofErr w:type="spellStart"/>
      <w:r w:rsidRPr="006C46BE">
        <w:rPr>
          <w:rFonts w:ascii="Arial" w:hAnsi="Arial" w:cs="Arial"/>
        </w:rPr>
        <w:t>etc</w:t>
      </w:r>
      <w:proofErr w:type="spellEnd"/>
      <w:r w:rsidRPr="006C46BE">
        <w:rPr>
          <w:rFonts w:ascii="Arial" w:hAnsi="Arial" w:cs="Arial"/>
        </w:rPr>
        <w:t xml:space="preserve">).  This has meant that the level of money available for future investment has reduced significantly as surplus cash has been used to finance capital projects in the short term.  However, whilst this will further reduce the level of investment income to the Council, this should be offset by lower borrowing costs.  </w:t>
      </w:r>
    </w:p>
    <w:p w:rsidR="00223A6F" w:rsidRPr="006C46BE" w:rsidRDefault="00223A6F" w:rsidP="00223A6F">
      <w:pPr>
        <w:pStyle w:val="ListParagraph"/>
        <w:ind w:left="709"/>
        <w:rPr>
          <w:rFonts w:ascii="Arial" w:hAnsi="Arial" w:cs="Arial"/>
        </w:rPr>
      </w:pPr>
    </w:p>
    <w:p w:rsidR="00223A6F" w:rsidRPr="006C46BE" w:rsidRDefault="00223A6F" w:rsidP="00223A6F">
      <w:pPr>
        <w:pStyle w:val="ListParagraph"/>
        <w:numPr>
          <w:ilvl w:val="1"/>
          <w:numId w:val="32"/>
        </w:numPr>
        <w:spacing w:after="0" w:line="240" w:lineRule="auto"/>
        <w:ind w:left="709" w:hanging="709"/>
        <w:rPr>
          <w:rFonts w:ascii="Arial" w:hAnsi="Arial" w:cs="Arial"/>
        </w:rPr>
      </w:pPr>
      <w:r w:rsidRPr="006C46BE">
        <w:rPr>
          <w:rFonts w:ascii="Arial" w:hAnsi="Arial" w:cs="Arial"/>
        </w:rPr>
        <w:t>One major factor affecting the treasury operations of the Council is the need to borrow to fund property acquisitions and development schemes.  Borrowing is undertaken at the most opportune time where it can be planned in advance, however to a certain extent the Council is constrained by the timing of when suitable properties come to the market.  As an example, a £20m property purchase at the start of the year will ensure more rental income for the current year but will also vary the borrowing costs based on the timing of the transaction and the interest rates applicable at that time.  A summary of the effects of this based on information at the end of June is set out in para</w:t>
      </w:r>
      <w:r w:rsidR="009F1077">
        <w:rPr>
          <w:rFonts w:ascii="Arial" w:hAnsi="Arial" w:cs="Arial"/>
        </w:rPr>
        <w:t>graphs</w:t>
      </w:r>
      <w:r w:rsidRPr="006C46BE">
        <w:rPr>
          <w:rFonts w:ascii="Arial" w:hAnsi="Arial" w:cs="Arial"/>
        </w:rPr>
        <w:t xml:space="preserve"> 2.15</w:t>
      </w:r>
      <w:r w:rsidR="009F1077">
        <w:rPr>
          <w:rFonts w:ascii="Arial" w:hAnsi="Arial" w:cs="Arial"/>
        </w:rPr>
        <w:t xml:space="preserve"> to 2.17</w:t>
      </w:r>
      <w:r w:rsidRPr="006C46BE">
        <w:rPr>
          <w:rFonts w:ascii="Arial" w:hAnsi="Arial" w:cs="Arial"/>
        </w:rPr>
        <w:t xml:space="preserve"> below.</w:t>
      </w:r>
    </w:p>
    <w:p w:rsidR="00223A6F" w:rsidRPr="006C46BE" w:rsidRDefault="00223A6F" w:rsidP="00223A6F">
      <w:pPr>
        <w:rPr>
          <w:rFonts w:cs="Arial"/>
          <w:sz w:val="22"/>
          <w:szCs w:val="22"/>
        </w:rPr>
      </w:pPr>
    </w:p>
    <w:p w:rsidR="00223A6F" w:rsidRPr="006C46BE" w:rsidRDefault="00223A6F" w:rsidP="00223A6F">
      <w:pPr>
        <w:ind w:left="709" w:hanging="709"/>
        <w:rPr>
          <w:rFonts w:cs="Arial"/>
          <w:sz w:val="22"/>
          <w:szCs w:val="22"/>
        </w:rPr>
      </w:pPr>
      <w:r w:rsidRPr="006C46BE">
        <w:rPr>
          <w:rFonts w:cs="Arial"/>
          <w:sz w:val="22"/>
          <w:szCs w:val="22"/>
        </w:rPr>
        <w:t>2.12</w:t>
      </w:r>
      <w:r w:rsidRPr="006C46BE">
        <w:rPr>
          <w:rFonts w:cs="Arial"/>
          <w:sz w:val="22"/>
          <w:szCs w:val="22"/>
        </w:rPr>
        <w:tab/>
        <w:t>A full report on all treasury activity during the first six months of the</w:t>
      </w:r>
      <w:r w:rsidR="009F1077">
        <w:rPr>
          <w:rFonts w:cs="Arial"/>
          <w:sz w:val="22"/>
          <w:szCs w:val="22"/>
        </w:rPr>
        <w:t xml:space="preserve"> year will be reported to this C</w:t>
      </w:r>
      <w:r w:rsidRPr="006C46BE">
        <w:rPr>
          <w:rFonts w:cs="Arial"/>
          <w:sz w:val="22"/>
          <w:szCs w:val="22"/>
        </w:rPr>
        <w:t>ommittee in October.</w:t>
      </w:r>
    </w:p>
    <w:p w:rsidR="00223A6F" w:rsidRPr="006C46BE" w:rsidRDefault="00223A6F" w:rsidP="00223A6F">
      <w:pPr>
        <w:ind w:left="720" w:hanging="720"/>
        <w:rPr>
          <w:rFonts w:cs="Arial"/>
          <w:sz w:val="22"/>
          <w:szCs w:val="22"/>
        </w:rPr>
      </w:pPr>
    </w:p>
    <w:p w:rsidR="00223A6F" w:rsidRPr="006C46BE" w:rsidRDefault="00223A6F" w:rsidP="00223A6F">
      <w:pPr>
        <w:ind w:left="720" w:hanging="720"/>
        <w:rPr>
          <w:rFonts w:cs="Arial"/>
          <w:sz w:val="22"/>
          <w:szCs w:val="22"/>
          <w:u w:val="single"/>
        </w:rPr>
      </w:pPr>
      <w:r w:rsidRPr="006C46BE">
        <w:rPr>
          <w:rFonts w:cs="Arial"/>
          <w:sz w:val="22"/>
          <w:szCs w:val="22"/>
        </w:rPr>
        <w:tab/>
      </w:r>
      <w:r w:rsidRPr="006C46BE">
        <w:rPr>
          <w:rFonts w:cs="Arial"/>
          <w:sz w:val="22"/>
          <w:szCs w:val="22"/>
          <w:u w:val="single"/>
        </w:rPr>
        <w:t>Government Grants</w:t>
      </w:r>
    </w:p>
    <w:p w:rsidR="00223A6F" w:rsidRPr="006C46BE" w:rsidRDefault="00223A6F" w:rsidP="00223A6F">
      <w:pPr>
        <w:ind w:left="720" w:hanging="720"/>
        <w:rPr>
          <w:rFonts w:cs="Arial"/>
          <w:sz w:val="22"/>
          <w:szCs w:val="22"/>
        </w:rPr>
      </w:pPr>
    </w:p>
    <w:p w:rsidR="00223A6F" w:rsidRPr="006C46BE" w:rsidRDefault="00223A6F" w:rsidP="00223A6F">
      <w:pPr>
        <w:ind w:left="720" w:hanging="720"/>
        <w:rPr>
          <w:rFonts w:cs="Arial"/>
          <w:sz w:val="22"/>
          <w:szCs w:val="22"/>
        </w:rPr>
      </w:pPr>
      <w:r w:rsidRPr="006C46BE">
        <w:rPr>
          <w:rFonts w:cs="Arial"/>
          <w:sz w:val="22"/>
          <w:szCs w:val="22"/>
        </w:rPr>
        <w:t>2.13</w:t>
      </w:r>
      <w:r w:rsidRPr="006C46BE">
        <w:rPr>
          <w:rFonts w:cs="Arial"/>
          <w:sz w:val="22"/>
          <w:szCs w:val="22"/>
        </w:rPr>
        <w:tab/>
        <w:t>Government Grants encompass the Revenue Support Grant, New Homes Bonus Grant and any other non-service specific grants that the government release during the year.  At the current time there is no change to the original estimate for these grants other than a small increase in the New Homes Bonus in the current year for unused grant recycled to authorities.</w:t>
      </w:r>
    </w:p>
    <w:p w:rsidR="00223A6F" w:rsidRPr="006C46BE" w:rsidRDefault="00223A6F" w:rsidP="00223A6F">
      <w:pPr>
        <w:ind w:left="720" w:hanging="720"/>
        <w:rPr>
          <w:rFonts w:cs="Arial"/>
          <w:sz w:val="22"/>
          <w:szCs w:val="22"/>
        </w:rPr>
      </w:pPr>
    </w:p>
    <w:p w:rsidR="00223A6F" w:rsidRPr="006C46BE" w:rsidRDefault="00223A6F" w:rsidP="00223A6F">
      <w:pPr>
        <w:ind w:left="720" w:hanging="720"/>
        <w:rPr>
          <w:rFonts w:cs="Arial"/>
          <w:sz w:val="22"/>
          <w:szCs w:val="22"/>
          <w:u w:val="single"/>
        </w:rPr>
      </w:pPr>
      <w:r w:rsidRPr="006C46BE">
        <w:rPr>
          <w:rFonts w:cs="Arial"/>
          <w:sz w:val="22"/>
          <w:szCs w:val="22"/>
        </w:rPr>
        <w:tab/>
      </w:r>
      <w:r w:rsidRPr="006C46BE">
        <w:rPr>
          <w:rFonts w:cs="Arial"/>
          <w:sz w:val="22"/>
          <w:szCs w:val="22"/>
          <w:u w:val="single"/>
        </w:rPr>
        <w:t>Business Rates and Council Tax Collection</w:t>
      </w:r>
    </w:p>
    <w:p w:rsidR="00223A6F" w:rsidRPr="006C46BE" w:rsidRDefault="00223A6F" w:rsidP="00223A6F">
      <w:pPr>
        <w:ind w:left="720" w:hanging="720"/>
        <w:rPr>
          <w:rFonts w:cs="Arial"/>
          <w:sz w:val="22"/>
          <w:szCs w:val="22"/>
          <w:u w:val="single"/>
        </w:rPr>
      </w:pPr>
    </w:p>
    <w:p w:rsidR="00223A6F" w:rsidRPr="006C46BE" w:rsidRDefault="00223A6F" w:rsidP="00223A6F">
      <w:pPr>
        <w:ind w:left="720" w:hanging="720"/>
        <w:rPr>
          <w:rFonts w:cs="Arial"/>
          <w:sz w:val="22"/>
          <w:szCs w:val="22"/>
        </w:rPr>
      </w:pPr>
      <w:r w:rsidRPr="006C46BE">
        <w:rPr>
          <w:rFonts w:cs="Arial"/>
          <w:sz w:val="22"/>
          <w:szCs w:val="22"/>
        </w:rPr>
        <w:t>2.14</w:t>
      </w:r>
      <w:r w:rsidRPr="006C46BE">
        <w:rPr>
          <w:rFonts w:cs="Arial"/>
          <w:sz w:val="22"/>
          <w:szCs w:val="22"/>
        </w:rPr>
        <w:tab/>
        <w:t>A significant income stream for the Council is the income from taxation.  Collection rates for both business rates and council tax are monitored on a weekly basis by the Corporate Director of Resources.  Collection rates for the period (as at 30 June) were as follows:</w:t>
      </w:r>
    </w:p>
    <w:p w:rsidR="00223A6F" w:rsidRPr="006C46BE" w:rsidRDefault="00223A6F" w:rsidP="00223A6F">
      <w:pPr>
        <w:ind w:left="720" w:hanging="720"/>
        <w:rPr>
          <w:rFonts w:cs="Arial"/>
          <w:sz w:val="22"/>
          <w:szCs w:val="22"/>
        </w:rPr>
      </w:pPr>
    </w:p>
    <w:tbl>
      <w:tblPr>
        <w:tblStyle w:val="TableGrid"/>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42"/>
        <w:gridCol w:w="1134"/>
        <w:gridCol w:w="1195"/>
      </w:tblGrid>
      <w:tr w:rsidR="00223A6F" w:rsidRPr="006C46BE" w:rsidTr="00223A6F">
        <w:tc>
          <w:tcPr>
            <w:tcW w:w="7610" w:type="dxa"/>
            <w:gridSpan w:val="3"/>
            <w:tcBorders>
              <w:top w:val="dotted" w:sz="4" w:space="0" w:color="auto"/>
              <w:left w:val="dotted" w:sz="4" w:space="0" w:color="auto"/>
              <w:bottom w:val="dotted" w:sz="4" w:space="0" w:color="auto"/>
              <w:right w:val="dotted" w:sz="4" w:space="0" w:color="auto"/>
            </w:tcBorders>
            <w:shd w:val="clear" w:color="auto" w:fill="BFBFBF" w:themeFill="background1" w:themeFillShade="BF"/>
            <w:hideMark/>
          </w:tcPr>
          <w:p w:rsidR="00223A6F" w:rsidRPr="006C46BE" w:rsidRDefault="00223A6F">
            <w:pPr>
              <w:jc w:val="center"/>
              <w:rPr>
                <w:rFonts w:cs="Arial"/>
                <w:b/>
                <w:sz w:val="22"/>
                <w:szCs w:val="22"/>
              </w:rPr>
            </w:pPr>
            <w:r w:rsidRPr="006C46BE">
              <w:rPr>
                <w:rFonts w:cs="Arial"/>
                <w:b/>
                <w:sz w:val="22"/>
                <w:szCs w:val="22"/>
              </w:rPr>
              <w:t>Table 6 – Collection rates</w:t>
            </w:r>
          </w:p>
        </w:tc>
      </w:tr>
      <w:tr w:rsidR="00223A6F" w:rsidRPr="006C46BE" w:rsidTr="00223A6F">
        <w:trPr>
          <w:trHeight w:val="673"/>
        </w:trPr>
        <w:tc>
          <w:tcPr>
            <w:tcW w:w="5342" w:type="dxa"/>
            <w:tcBorders>
              <w:top w:val="dotted" w:sz="4" w:space="0" w:color="auto"/>
              <w:left w:val="dotted" w:sz="4" w:space="0" w:color="auto"/>
              <w:bottom w:val="dotted" w:sz="4" w:space="0" w:color="auto"/>
              <w:right w:val="dotted" w:sz="4" w:space="0" w:color="auto"/>
            </w:tcBorders>
          </w:tcPr>
          <w:p w:rsidR="00223A6F" w:rsidRPr="006C46BE" w:rsidRDefault="00223A6F">
            <w:pPr>
              <w:rPr>
                <w:rFonts w:cs="Arial"/>
                <w:sz w:val="22"/>
                <w:szCs w:val="22"/>
              </w:rPr>
            </w:pPr>
          </w:p>
        </w:tc>
        <w:tc>
          <w:tcPr>
            <w:tcW w:w="1134" w:type="dxa"/>
            <w:tcBorders>
              <w:top w:val="dotted" w:sz="4" w:space="0" w:color="auto"/>
              <w:left w:val="dotted" w:sz="4" w:space="0" w:color="auto"/>
              <w:bottom w:val="dotted" w:sz="4" w:space="0" w:color="auto"/>
              <w:right w:val="dotted" w:sz="4" w:space="0" w:color="auto"/>
            </w:tcBorders>
            <w:hideMark/>
          </w:tcPr>
          <w:p w:rsidR="00223A6F" w:rsidRPr="006C46BE" w:rsidRDefault="00223A6F">
            <w:pPr>
              <w:jc w:val="center"/>
              <w:rPr>
                <w:rFonts w:cs="Arial"/>
                <w:b/>
                <w:sz w:val="22"/>
                <w:szCs w:val="22"/>
              </w:rPr>
            </w:pPr>
            <w:r w:rsidRPr="006C46BE">
              <w:rPr>
                <w:rFonts w:cs="Arial"/>
                <w:b/>
                <w:sz w:val="22"/>
                <w:szCs w:val="22"/>
              </w:rPr>
              <w:t>Council Tax</w:t>
            </w:r>
            <w:r w:rsidRPr="006C46BE">
              <w:rPr>
                <w:rFonts w:cs="Arial"/>
                <w:b/>
                <w:sz w:val="22"/>
                <w:szCs w:val="22"/>
              </w:rPr>
              <w:br/>
              <w:t>£’000</w:t>
            </w:r>
          </w:p>
        </w:tc>
        <w:tc>
          <w:tcPr>
            <w:tcW w:w="1134" w:type="dxa"/>
            <w:tcBorders>
              <w:top w:val="dotted" w:sz="4" w:space="0" w:color="auto"/>
              <w:left w:val="dotted" w:sz="4" w:space="0" w:color="auto"/>
              <w:bottom w:val="dotted" w:sz="4" w:space="0" w:color="auto"/>
              <w:right w:val="dotted" w:sz="4" w:space="0" w:color="auto"/>
            </w:tcBorders>
            <w:hideMark/>
          </w:tcPr>
          <w:p w:rsidR="00223A6F" w:rsidRPr="006C46BE" w:rsidRDefault="00223A6F">
            <w:pPr>
              <w:jc w:val="center"/>
              <w:rPr>
                <w:rFonts w:cs="Arial"/>
                <w:b/>
                <w:sz w:val="22"/>
                <w:szCs w:val="22"/>
              </w:rPr>
            </w:pPr>
            <w:r w:rsidRPr="006C46BE">
              <w:rPr>
                <w:rFonts w:cs="Arial"/>
                <w:b/>
                <w:sz w:val="22"/>
                <w:szCs w:val="22"/>
              </w:rPr>
              <w:t>Business Rates</w:t>
            </w:r>
          </w:p>
          <w:p w:rsidR="00223A6F" w:rsidRPr="006C46BE" w:rsidRDefault="00223A6F">
            <w:pPr>
              <w:jc w:val="center"/>
              <w:rPr>
                <w:rFonts w:cs="Arial"/>
                <w:b/>
                <w:sz w:val="22"/>
                <w:szCs w:val="22"/>
              </w:rPr>
            </w:pPr>
            <w:r w:rsidRPr="006C46BE">
              <w:rPr>
                <w:rFonts w:cs="Arial"/>
                <w:b/>
                <w:sz w:val="22"/>
                <w:szCs w:val="22"/>
              </w:rPr>
              <w:t>£’000</w:t>
            </w:r>
          </w:p>
        </w:tc>
      </w:tr>
      <w:tr w:rsidR="00223A6F" w:rsidRPr="006C46BE" w:rsidTr="00223A6F">
        <w:tc>
          <w:tcPr>
            <w:tcW w:w="5342" w:type="dxa"/>
            <w:tcBorders>
              <w:top w:val="dotted" w:sz="4" w:space="0" w:color="auto"/>
              <w:left w:val="dotted" w:sz="4" w:space="0" w:color="auto"/>
              <w:bottom w:val="dotted" w:sz="4" w:space="0" w:color="auto"/>
              <w:right w:val="dotted" w:sz="4" w:space="0" w:color="auto"/>
            </w:tcBorders>
            <w:hideMark/>
          </w:tcPr>
          <w:p w:rsidR="00223A6F" w:rsidRPr="006C46BE" w:rsidRDefault="00223A6F">
            <w:pPr>
              <w:rPr>
                <w:rFonts w:cs="Arial"/>
                <w:sz w:val="22"/>
                <w:szCs w:val="22"/>
              </w:rPr>
            </w:pPr>
            <w:r w:rsidRPr="006C46BE">
              <w:rPr>
                <w:rFonts w:cs="Arial"/>
                <w:sz w:val="22"/>
                <w:szCs w:val="22"/>
              </w:rPr>
              <w:t>Collectable debit for the year</w:t>
            </w:r>
          </w:p>
        </w:tc>
        <w:tc>
          <w:tcPr>
            <w:tcW w:w="1134" w:type="dxa"/>
            <w:tcBorders>
              <w:top w:val="dotted" w:sz="4" w:space="0" w:color="auto"/>
              <w:left w:val="dotted" w:sz="4" w:space="0" w:color="auto"/>
              <w:bottom w:val="dotted" w:sz="4" w:space="0" w:color="auto"/>
              <w:right w:val="dotted" w:sz="4" w:space="0" w:color="auto"/>
            </w:tcBorders>
            <w:hideMark/>
          </w:tcPr>
          <w:p w:rsidR="00223A6F" w:rsidRPr="006C46BE" w:rsidRDefault="00223A6F">
            <w:pPr>
              <w:jc w:val="right"/>
              <w:rPr>
                <w:rFonts w:cs="Arial"/>
                <w:sz w:val="22"/>
                <w:szCs w:val="22"/>
              </w:rPr>
            </w:pPr>
            <w:r w:rsidRPr="006C46BE">
              <w:rPr>
                <w:rFonts w:cs="Arial"/>
                <w:sz w:val="22"/>
                <w:szCs w:val="22"/>
              </w:rPr>
              <w:t>57,219</w:t>
            </w:r>
          </w:p>
        </w:tc>
        <w:tc>
          <w:tcPr>
            <w:tcW w:w="1134" w:type="dxa"/>
            <w:tcBorders>
              <w:top w:val="dotted" w:sz="4" w:space="0" w:color="auto"/>
              <w:left w:val="dotted" w:sz="4" w:space="0" w:color="auto"/>
              <w:bottom w:val="dotted" w:sz="4" w:space="0" w:color="auto"/>
              <w:right w:val="dotted" w:sz="4" w:space="0" w:color="auto"/>
            </w:tcBorders>
            <w:hideMark/>
          </w:tcPr>
          <w:p w:rsidR="00223A6F" w:rsidRPr="006C46BE" w:rsidRDefault="00223A6F">
            <w:pPr>
              <w:jc w:val="right"/>
              <w:rPr>
                <w:rFonts w:cs="Arial"/>
                <w:sz w:val="22"/>
                <w:szCs w:val="22"/>
              </w:rPr>
            </w:pPr>
            <w:r w:rsidRPr="006C46BE">
              <w:rPr>
                <w:rFonts w:cs="Arial"/>
                <w:sz w:val="22"/>
                <w:szCs w:val="22"/>
              </w:rPr>
              <w:t>54,317</w:t>
            </w:r>
          </w:p>
        </w:tc>
      </w:tr>
      <w:tr w:rsidR="00223A6F" w:rsidRPr="006C46BE" w:rsidTr="00223A6F">
        <w:tc>
          <w:tcPr>
            <w:tcW w:w="5342" w:type="dxa"/>
            <w:tcBorders>
              <w:top w:val="dotted" w:sz="4" w:space="0" w:color="auto"/>
              <w:left w:val="dotted" w:sz="4" w:space="0" w:color="auto"/>
              <w:bottom w:val="dotted" w:sz="4" w:space="0" w:color="auto"/>
              <w:right w:val="dotted" w:sz="4" w:space="0" w:color="auto"/>
            </w:tcBorders>
            <w:hideMark/>
          </w:tcPr>
          <w:p w:rsidR="00223A6F" w:rsidRPr="006C46BE" w:rsidRDefault="00223A6F">
            <w:pPr>
              <w:rPr>
                <w:rFonts w:cs="Arial"/>
                <w:sz w:val="22"/>
                <w:szCs w:val="22"/>
              </w:rPr>
            </w:pPr>
            <w:r w:rsidRPr="006C46BE">
              <w:rPr>
                <w:rFonts w:cs="Arial"/>
                <w:sz w:val="22"/>
                <w:szCs w:val="22"/>
              </w:rPr>
              <w:t>Cash received for period</w:t>
            </w:r>
          </w:p>
        </w:tc>
        <w:tc>
          <w:tcPr>
            <w:tcW w:w="1134" w:type="dxa"/>
            <w:tcBorders>
              <w:top w:val="dotted" w:sz="4" w:space="0" w:color="auto"/>
              <w:left w:val="dotted" w:sz="4" w:space="0" w:color="auto"/>
              <w:bottom w:val="dotted" w:sz="4" w:space="0" w:color="auto"/>
              <w:right w:val="dotted" w:sz="4" w:space="0" w:color="auto"/>
            </w:tcBorders>
            <w:hideMark/>
          </w:tcPr>
          <w:p w:rsidR="00223A6F" w:rsidRPr="006C46BE" w:rsidRDefault="00223A6F">
            <w:pPr>
              <w:jc w:val="right"/>
              <w:rPr>
                <w:rFonts w:cs="Arial"/>
                <w:sz w:val="22"/>
                <w:szCs w:val="22"/>
              </w:rPr>
            </w:pPr>
            <w:r w:rsidRPr="006C46BE">
              <w:rPr>
                <w:rFonts w:cs="Arial"/>
                <w:sz w:val="22"/>
                <w:szCs w:val="22"/>
              </w:rPr>
              <w:t>17,995</w:t>
            </w:r>
          </w:p>
        </w:tc>
        <w:tc>
          <w:tcPr>
            <w:tcW w:w="1134" w:type="dxa"/>
            <w:tcBorders>
              <w:top w:val="dotted" w:sz="4" w:space="0" w:color="auto"/>
              <w:left w:val="dotted" w:sz="4" w:space="0" w:color="auto"/>
              <w:bottom w:val="dotted" w:sz="4" w:space="0" w:color="auto"/>
              <w:right w:val="dotted" w:sz="4" w:space="0" w:color="auto"/>
            </w:tcBorders>
            <w:hideMark/>
          </w:tcPr>
          <w:p w:rsidR="00223A6F" w:rsidRPr="006C46BE" w:rsidRDefault="00223A6F">
            <w:pPr>
              <w:jc w:val="right"/>
              <w:rPr>
                <w:rFonts w:cs="Arial"/>
                <w:sz w:val="22"/>
                <w:szCs w:val="22"/>
              </w:rPr>
            </w:pPr>
            <w:r w:rsidRPr="006C46BE">
              <w:rPr>
                <w:rFonts w:cs="Arial"/>
                <w:sz w:val="22"/>
                <w:szCs w:val="22"/>
              </w:rPr>
              <w:t>17,317</w:t>
            </w:r>
          </w:p>
        </w:tc>
      </w:tr>
      <w:tr w:rsidR="00223A6F" w:rsidRPr="006C46BE" w:rsidTr="00223A6F">
        <w:tc>
          <w:tcPr>
            <w:tcW w:w="5342" w:type="dxa"/>
            <w:tcBorders>
              <w:top w:val="dotted" w:sz="4" w:space="0" w:color="auto"/>
              <w:left w:val="dotted" w:sz="4" w:space="0" w:color="auto"/>
              <w:bottom w:val="dotted" w:sz="4" w:space="0" w:color="auto"/>
              <w:right w:val="dotted" w:sz="4" w:space="0" w:color="auto"/>
            </w:tcBorders>
          </w:tcPr>
          <w:p w:rsidR="00223A6F" w:rsidRPr="006C46BE" w:rsidRDefault="00223A6F">
            <w:pPr>
              <w:rPr>
                <w:rFonts w:cs="Arial"/>
                <w:sz w:val="22"/>
                <w:szCs w:val="22"/>
              </w:rPr>
            </w:pPr>
          </w:p>
        </w:tc>
        <w:tc>
          <w:tcPr>
            <w:tcW w:w="1134" w:type="dxa"/>
            <w:tcBorders>
              <w:top w:val="dotted" w:sz="4" w:space="0" w:color="auto"/>
              <w:left w:val="dotted" w:sz="4" w:space="0" w:color="auto"/>
              <w:bottom w:val="dotted" w:sz="4" w:space="0" w:color="auto"/>
              <w:right w:val="dotted" w:sz="4" w:space="0" w:color="auto"/>
            </w:tcBorders>
          </w:tcPr>
          <w:p w:rsidR="00223A6F" w:rsidRPr="006C46BE" w:rsidRDefault="00223A6F">
            <w:pPr>
              <w:jc w:val="right"/>
              <w:rPr>
                <w:rFonts w:cs="Arial"/>
                <w:sz w:val="22"/>
                <w:szCs w:val="22"/>
              </w:rPr>
            </w:pPr>
          </w:p>
        </w:tc>
        <w:tc>
          <w:tcPr>
            <w:tcW w:w="1134" w:type="dxa"/>
            <w:tcBorders>
              <w:top w:val="dotted" w:sz="4" w:space="0" w:color="auto"/>
              <w:left w:val="dotted" w:sz="4" w:space="0" w:color="auto"/>
              <w:bottom w:val="dotted" w:sz="4" w:space="0" w:color="auto"/>
              <w:right w:val="dotted" w:sz="4" w:space="0" w:color="auto"/>
            </w:tcBorders>
          </w:tcPr>
          <w:p w:rsidR="00223A6F" w:rsidRPr="006C46BE" w:rsidRDefault="00223A6F">
            <w:pPr>
              <w:jc w:val="right"/>
              <w:rPr>
                <w:rFonts w:cs="Arial"/>
                <w:sz w:val="22"/>
                <w:szCs w:val="22"/>
              </w:rPr>
            </w:pPr>
          </w:p>
        </w:tc>
      </w:tr>
      <w:tr w:rsidR="00223A6F" w:rsidRPr="006C46BE" w:rsidTr="00223A6F">
        <w:tc>
          <w:tcPr>
            <w:tcW w:w="5342" w:type="dxa"/>
            <w:tcBorders>
              <w:top w:val="dotted" w:sz="4" w:space="0" w:color="auto"/>
              <w:left w:val="dotted" w:sz="4" w:space="0" w:color="auto"/>
              <w:bottom w:val="dotted" w:sz="4" w:space="0" w:color="auto"/>
              <w:right w:val="dotted" w:sz="4" w:space="0" w:color="auto"/>
            </w:tcBorders>
            <w:hideMark/>
          </w:tcPr>
          <w:p w:rsidR="00223A6F" w:rsidRPr="006C46BE" w:rsidRDefault="00223A6F">
            <w:pPr>
              <w:rPr>
                <w:rFonts w:cs="Arial"/>
                <w:sz w:val="22"/>
                <w:szCs w:val="22"/>
              </w:rPr>
            </w:pPr>
            <w:r w:rsidRPr="006C46BE">
              <w:rPr>
                <w:rFonts w:cs="Arial"/>
                <w:sz w:val="22"/>
                <w:szCs w:val="22"/>
              </w:rPr>
              <w:t xml:space="preserve">% of cash received to date – Target </w:t>
            </w:r>
          </w:p>
        </w:tc>
        <w:tc>
          <w:tcPr>
            <w:tcW w:w="1134" w:type="dxa"/>
            <w:tcBorders>
              <w:top w:val="dotted" w:sz="4" w:space="0" w:color="auto"/>
              <w:left w:val="dotted" w:sz="4" w:space="0" w:color="auto"/>
              <w:bottom w:val="dotted" w:sz="4" w:space="0" w:color="auto"/>
              <w:right w:val="dotted" w:sz="4" w:space="0" w:color="auto"/>
            </w:tcBorders>
            <w:hideMark/>
          </w:tcPr>
          <w:p w:rsidR="00223A6F" w:rsidRPr="006C46BE" w:rsidRDefault="00223A6F">
            <w:pPr>
              <w:jc w:val="right"/>
              <w:rPr>
                <w:rFonts w:cs="Arial"/>
                <w:sz w:val="22"/>
                <w:szCs w:val="22"/>
              </w:rPr>
            </w:pPr>
            <w:r w:rsidRPr="006C46BE">
              <w:rPr>
                <w:rFonts w:cs="Arial"/>
                <w:sz w:val="22"/>
                <w:szCs w:val="22"/>
              </w:rPr>
              <w:t>31.45%</w:t>
            </w:r>
          </w:p>
        </w:tc>
        <w:tc>
          <w:tcPr>
            <w:tcW w:w="1134" w:type="dxa"/>
            <w:tcBorders>
              <w:top w:val="dotted" w:sz="4" w:space="0" w:color="auto"/>
              <w:left w:val="dotted" w:sz="4" w:space="0" w:color="auto"/>
              <w:bottom w:val="dotted" w:sz="4" w:space="0" w:color="auto"/>
              <w:right w:val="dotted" w:sz="4" w:space="0" w:color="auto"/>
            </w:tcBorders>
            <w:hideMark/>
          </w:tcPr>
          <w:p w:rsidR="00223A6F" w:rsidRPr="006C46BE" w:rsidRDefault="00223A6F">
            <w:pPr>
              <w:jc w:val="right"/>
              <w:rPr>
                <w:rFonts w:cs="Arial"/>
                <w:sz w:val="22"/>
                <w:szCs w:val="22"/>
              </w:rPr>
            </w:pPr>
            <w:r w:rsidRPr="006C46BE">
              <w:rPr>
                <w:rFonts w:cs="Arial"/>
                <w:sz w:val="22"/>
                <w:szCs w:val="22"/>
              </w:rPr>
              <w:t>31.31%</w:t>
            </w:r>
          </w:p>
        </w:tc>
      </w:tr>
      <w:tr w:rsidR="00223A6F" w:rsidRPr="006C46BE" w:rsidTr="00223A6F">
        <w:tc>
          <w:tcPr>
            <w:tcW w:w="5342" w:type="dxa"/>
            <w:tcBorders>
              <w:top w:val="dotted" w:sz="4" w:space="0" w:color="auto"/>
              <w:left w:val="dotted" w:sz="4" w:space="0" w:color="auto"/>
              <w:bottom w:val="dotted" w:sz="4" w:space="0" w:color="auto"/>
              <w:right w:val="dotted" w:sz="4" w:space="0" w:color="auto"/>
            </w:tcBorders>
            <w:hideMark/>
          </w:tcPr>
          <w:p w:rsidR="00223A6F" w:rsidRPr="006C46BE" w:rsidRDefault="00223A6F">
            <w:pPr>
              <w:rPr>
                <w:rFonts w:cs="Arial"/>
                <w:sz w:val="22"/>
                <w:szCs w:val="22"/>
              </w:rPr>
            </w:pPr>
            <w:r w:rsidRPr="006C46BE">
              <w:rPr>
                <w:rFonts w:cs="Arial"/>
                <w:sz w:val="22"/>
                <w:szCs w:val="22"/>
              </w:rPr>
              <w:t xml:space="preserve">% of cash received to date – Actual </w:t>
            </w:r>
          </w:p>
        </w:tc>
        <w:tc>
          <w:tcPr>
            <w:tcW w:w="1134" w:type="dxa"/>
            <w:tcBorders>
              <w:top w:val="dotted" w:sz="4" w:space="0" w:color="auto"/>
              <w:left w:val="dotted" w:sz="4" w:space="0" w:color="auto"/>
              <w:bottom w:val="dotted" w:sz="4" w:space="0" w:color="auto"/>
              <w:right w:val="dotted" w:sz="4" w:space="0" w:color="auto"/>
            </w:tcBorders>
            <w:hideMark/>
          </w:tcPr>
          <w:p w:rsidR="00223A6F" w:rsidRPr="006C46BE" w:rsidRDefault="00223A6F">
            <w:pPr>
              <w:jc w:val="right"/>
              <w:rPr>
                <w:rFonts w:cs="Arial"/>
                <w:sz w:val="22"/>
                <w:szCs w:val="22"/>
              </w:rPr>
            </w:pPr>
            <w:r w:rsidRPr="006C46BE">
              <w:rPr>
                <w:rFonts w:cs="Arial"/>
                <w:sz w:val="22"/>
                <w:szCs w:val="22"/>
              </w:rPr>
              <w:t>31.45%</w:t>
            </w:r>
          </w:p>
        </w:tc>
        <w:tc>
          <w:tcPr>
            <w:tcW w:w="1134" w:type="dxa"/>
            <w:tcBorders>
              <w:top w:val="dotted" w:sz="4" w:space="0" w:color="auto"/>
              <w:left w:val="dotted" w:sz="4" w:space="0" w:color="auto"/>
              <w:bottom w:val="dotted" w:sz="4" w:space="0" w:color="auto"/>
              <w:right w:val="dotted" w:sz="4" w:space="0" w:color="auto"/>
            </w:tcBorders>
            <w:hideMark/>
          </w:tcPr>
          <w:p w:rsidR="00223A6F" w:rsidRPr="006C46BE" w:rsidRDefault="00223A6F">
            <w:pPr>
              <w:jc w:val="right"/>
              <w:rPr>
                <w:rFonts w:cs="Arial"/>
                <w:sz w:val="22"/>
                <w:szCs w:val="22"/>
              </w:rPr>
            </w:pPr>
            <w:r w:rsidRPr="006C46BE">
              <w:rPr>
                <w:rFonts w:cs="Arial"/>
                <w:sz w:val="22"/>
                <w:szCs w:val="22"/>
              </w:rPr>
              <w:t>31.31%</w:t>
            </w:r>
          </w:p>
        </w:tc>
      </w:tr>
      <w:tr w:rsidR="00223A6F" w:rsidRPr="006C46BE" w:rsidTr="00223A6F">
        <w:tc>
          <w:tcPr>
            <w:tcW w:w="5342" w:type="dxa"/>
            <w:tcBorders>
              <w:top w:val="dotted" w:sz="4" w:space="0" w:color="auto"/>
              <w:left w:val="dotted" w:sz="4" w:space="0" w:color="auto"/>
              <w:bottom w:val="dotted" w:sz="4" w:space="0" w:color="auto"/>
              <w:right w:val="dotted" w:sz="4" w:space="0" w:color="auto"/>
            </w:tcBorders>
          </w:tcPr>
          <w:p w:rsidR="00223A6F" w:rsidRPr="006C46BE" w:rsidRDefault="00223A6F">
            <w:pPr>
              <w:rPr>
                <w:rFonts w:cs="Arial"/>
                <w:sz w:val="22"/>
                <w:szCs w:val="22"/>
              </w:rPr>
            </w:pPr>
          </w:p>
        </w:tc>
        <w:tc>
          <w:tcPr>
            <w:tcW w:w="1134" w:type="dxa"/>
            <w:tcBorders>
              <w:top w:val="dotted" w:sz="4" w:space="0" w:color="auto"/>
              <w:left w:val="dotted" w:sz="4" w:space="0" w:color="auto"/>
              <w:bottom w:val="dotted" w:sz="4" w:space="0" w:color="auto"/>
              <w:right w:val="dotted" w:sz="4" w:space="0" w:color="auto"/>
            </w:tcBorders>
          </w:tcPr>
          <w:p w:rsidR="00223A6F" w:rsidRPr="006C46BE" w:rsidRDefault="00223A6F">
            <w:pPr>
              <w:jc w:val="right"/>
              <w:rPr>
                <w:rFonts w:cs="Arial"/>
                <w:sz w:val="22"/>
                <w:szCs w:val="22"/>
              </w:rPr>
            </w:pPr>
          </w:p>
        </w:tc>
        <w:tc>
          <w:tcPr>
            <w:tcW w:w="1134" w:type="dxa"/>
            <w:tcBorders>
              <w:top w:val="dotted" w:sz="4" w:space="0" w:color="auto"/>
              <w:left w:val="dotted" w:sz="4" w:space="0" w:color="auto"/>
              <w:bottom w:val="dotted" w:sz="4" w:space="0" w:color="auto"/>
              <w:right w:val="dotted" w:sz="4" w:space="0" w:color="auto"/>
            </w:tcBorders>
          </w:tcPr>
          <w:p w:rsidR="00223A6F" w:rsidRPr="006C46BE" w:rsidRDefault="00223A6F">
            <w:pPr>
              <w:jc w:val="right"/>
              <w:rPr>
                <w:rFonts w:cs="Arial"/>
                <w:sz w:val="22"/>
                <w:szCs w:val="22"/>
              </w:rPr>
            </w:pPr>
          </w:p>
        </w:tc>
      </w:tr>
      <w:tr w:rsidR="00223A6F" w:rsidRPr="006C46BE" w:rsidTr="00223A6F">
        <w:tc>
          <w:tcPr>
            <w:tcW w:w="5342" w:type="dxa"/>
            <w:tcBorders>
              <w:top w:val="dotted" w:sz="4" w:space="0" w:color="auto"/>
              <w:left w:val="dotted" w:sz="4" w:space="0" w:color="auto"/>
              <w:bottom w:val="dotted" w:sz="4" w:space="0" w:color="auto"/>
              <w:right w:val="dotted" w:sz="4" w:space="0" w:color="auto"/>
            </w:tcBorders>
            <w:hideMark/>
          </w:tcPr>
          <w:p w:rsidR="00223A6F" w:rsidRPr="006C46BE" w:rsidRDefault="00223A6F">
            <w:pPr>
              <w:rPr>
                <w:rFonts w:cs="Arial"/>
                <w:sz w:val="22"/>
                <w:szCs w:val="22"/>
              </w:rPr>
            </w:pPr>
            <w:r w:rsidRPr="006C46BE">
              <w:rPr>
                <w:rFonts w:cs="Arial"/>
                <w:sz w:val="22"/>
                <w:szCs w:val="22"/>
              </w:rPr>
              <w:t>% of cash received for the year – Target</w:t>
            </w:r>
          </w:p>
        </w:tc>
        <w:tc>
          <w:tcPr>
            <w:tcW w:w="1134" w:type="dxa"/>
            <w:tcBorders>
              <w:top w:val="dotted" w:sz="4" w:space="0" w:color="auto"/>
              <w:left w:val="dotted" w:sz="4" w:space="0" w:color="auto"/>
              <w:bottom w:val="dotted" w:sz="4" w:space="0" w:color="auto"/>
              <w:right w:val="dotted" w:sz="4" w:space="0" w:color="auto"/>
            </w:tcBorders>
            <w:hideMark/>
          </w:tcPr>
          <w:p w:rsidR="00223A6F" w:rsidRPr="006C46BE" w:rsidRDefault="00223A6F">
            <w:pPr>
              <w:jc w:val="right"/>
              <w:rPr>
                <w:rFonts w:cs="Arial"/>
                <w:sz w:val="22"/>
                <w:szCs w:val="22"/>
              </w:rPr>
            </w:pPr>
            <w:r w:rsidRPr="006C46BE">
              <w:rPr>
                <w:rFonts w:cs="Arial"/>
                <w:sz w:val="22"/>
                <w:szCs w:val="22"/>
              </w:rPr>
              <w:t>99.00%</w:t>
            </w:r>
          </w:p>
        </w:tc>
        <w:tc>
          <w:tcPr>
            <w:tcW w:w="1134" w:type="dxa"/>
            <w:tcBorders>
              <w:top w:val="dotted" w:sz="4" w:space="0" w:color="auto"/>
              <w:left w:val="dotted" w:sz="4" w:space="0" w:color="auto"/>
              <w:bottom w:val="dotted" w:sz="4" w:space="0" w:color="auto"/>
              <w:right w:val="dotted" w:sz="4" w:space="0" w:color="auto"/>
            </w:tcBorders>
            <w:hideMark/>
          </w:tcPr>
          <w:p w:rsidR="00223A6F" w:rsidRPr="006C46BE" w:rsidRDefault="00223A6F">
            <w:pPr>
              <w:jc w:val="right"/>
              <w:rPr>
                <w:rFonts w:cs="Arial"/>
                <w:sz w:val="22"/>
                <w:szCs w:val="22"/>
              </w:rPr>
            </w:pPr>
            <w:r w:rsidRPr="006C46BE">
              <w:rPr>
                <w:rFonts w:cs="Arial"/>
                <w:sz w:val="22"/>
                <w:szCs w:val="22"/>
              </w:rPr>
              <w:t>99.00%</w:t>
            </w:r>
          </w:p>
        </w:tc>
      </w:tr>
      <w:tr w:rsidR="00223A6F" w:rsidRPr="006C46BE" w:rsidTr="00223A6F">
        <w:tc>
          <w:tcPr>
            <w:tcW w:w="5342" w:type="dxa"/>
            <w:tcBorders>
              <w:top w:val="dotted" w:sz="4" w:space="0" w:color="auto"/>
              <w:left w:val="dotted" w:sz="4" w:space="0" w:color="auto"/>
              <w:bottom w:val="dotted" w:sz="4" w:space="0" w:color="auto"/>
              <w:right w:val="dotted" w:sz="4" w:space="0" w:color="auto"/>
            </w:tcBorders>
          </w:tcPr>
          <w:p w:rsidR="00223A6F" w:rsidRPr="006C46BE" w:rsidRDefault="00223A6F">
            <w:pPr>
              <w:rPr>
                <w:rFonts w:cs="Arial"/>
                <w:sz w:val="22"/>
                <w:szCs w:val="22"/>
              </w:rPr>
            </w:pPr>
          </w:p>
        </w:tc>
        <w:tc>
          <w:tcPr>
            <w:tcW w:w="1134" w:type="dxa"/>
            <w:tcBorders>
              <w:top w:val="dotted" w:sz="4" w:space="0" w:color="auto"/>
              <w:left w:val="dotted" w:sz="4" w:space="0" w:color="auto"/>
              <w:bottom w:val="dotted" w:sz="4" w:space="0" w:color="auto"/>
              <w:right w:val="dotted" w:sz="4" w:space="0" w:color="auto"/>
            </w:tcBorders>
          </w:tcPr>
          <w:p w:rsidR="00223A6F" w:rsidRPr="006C46BE" w:rsidRDefault="00223A6F">
            <w:pPr>
              <w:jc w:val="right"/>
              <w:rPr>
                <w:rFonts w:cs="Arial"/>
                <w:sz w:val="22"/>
                <w:szCs w:val="22"/>
              </w:rPr>
            </w:pPr>
          </w:p>
        </w:tc>
        <w:tc>
          <w:tcPr>
            <w:tcW w:w="1134" w:type="dxa"/>
            <w:tcBorders>
              <w:top w:val="dotted" w:sz="4" w:space="0" w:color="auto"/>
              <w:left w:val="dotted" w:sz="4" w:space="0" w:color="auto"/>
              <w:bottom w:val="dotted" w:sz="4" w:space="0" w:color="auto"/>
              <w:right w:val="dotted" w:sz="4" w:space="0" w:color="auto"/>
            </w:tcBorders>
          </w:tcPr>
          <w:p w:rsidR="00223A6F" w:rsidRPr="006C46BE" w:rsidRDefault="00223A6F">
            <w:pPr>
              <w:jc w:val="right"/>
              <w:rPr>
                <w:rFonts w:cs="Arial"/>
                <w:sz w:val="22"/>
                <w:szCs w:val="22"/>
              </w:rPr>
            </w:pPr>
          </w:p>
        </w:tc>
      </w:tr>
      <w:tr w:rsidR="00223A6F" w:rsidRPr="006C46BE" w:rsidTr="00223A6F">
        <w:tc>
          <w:tcPr>
            <w:tcW w:w="5342" w:type="dxa"/>
            <w:tcBorders>
              <w:top w:val="dotted" w:sz="4" w:space="0" w:color="auto"/>
              <w:left w:val="dotted" w:sz="4" w:space="0" w:color="auto"/>
              <w:bottom w:val="dotted" w:sz="4" w:space="0" w:color="auto"/>
              <w:right w:val="dotted" w:sz="4" w:space="0" w:color="auto"/>
            </w:tcBorders>
            <w:hideMark/>
          </w:tcPr>
          <w:p w:rsidR="00223A6F" w:rsidRPr="006C46BE" w:rsidRDefault="00223A6F">
            <w:pPr>
              <w:rPr>
                <w:rFonts w:cs="Arial"/>
                <w:sz w:val="22"/>
                <w:szCs w:val="22"/>
              </w:rPr>
            </w:pPr>
            <w:r w:rsidRPr="006C46BE">
              <w:rPr>
                <w:rFonts w:cs="Arial"/>
                <w:sz w:val="22"/>
                <w:szCs w:val="22"/>
              </w:rPr>
              <w:t>% of collectable debit written off</w:t>
            </w:r>
          </w:p>
        </w:tc>
        <w:tc>
          <w:tcPr>
            <w:tcW w:w="1134" w:type="dxa"/>
            <w:tcBorders>
              <w:top w:val="dotted" w:sz="4" w:space="0" w:color="auto"/>
              <w:left w:val="dotted" w:sz="4" w:space="0" w:color="auto"/>
              <w:bottom w:val="dotted" w:sz="4" w:space="0" w:color="auto"/>
              <w:right w:val="dotted" w:sz="4" w:space="0" w:color="auto"/>
            </w:tcBorders>
            <w:hideMark/>
          </w:tcPr>
          <w:p w:rsidR="00223A6F" w:rsidRPr="006C46BE" w:rsidRDefault="00223A6F">
            <w:pPr>
              <w:jc w:val="right"/>
              <w:rPr>
                <w:rFonts w:cs="Arial"/>
                <w:sz w:val="22"/>
                <w:szCs w:val="22"/>
              </w:rPr>
            </w:pPr>
            <w:r w:rsidRPr="006C46BE">
              <w:rPr>
                <w:rFonts w:cs="Arial"/>
                <w:sz w:val="22"/>
                <w:szCs w:val="22"/>
              </w:rPr>
              <w:t>0.00%</w:t>
            </w:r>
          </w:p>
        </w:tc>
        <w:tc>
          <w:tcPr>
            <w:tcW w:w="1134" w:type="dxa"/>
            <w:tcBorders>
              <w:top w:val="dotted" w:sz="4" w:space="0" w:color="auto"/>
              <w:left w:val="dotted" w:sz="4" w:space="0" w:color="auto"/>
              <w:bottom w:val="dotted" w:sz="4" w:space="0" w:color="auto"/>
              <w:right w:val="dotted" w:sz="4" w:space="0" w:color="auto"/>
            </w:tcBorders>
            <w:hideMark/>
          </w:tcPr>
          <w:p w:rsidR="00223A6F" w:rsidRPr="006C46BE" w:rsidRDefault="00223A6F">
            <w:pPr>
              <w:jc w:val="right"/>
              <w:rPr>
                <w:rFonts w:cs="Arial"/>
                <w:sz w:val="22"/>
                <w:szCs w:val="22"/>
              </w:rPr>
            </w:pPr>
            <w:r w:rsidRPr="006C46BE">
              <w:rPr>
                <w:rFonts w:cs="Arial"/>
                <w:sz w:val="22"/>
                <w:szCs w:val="22"/>
              </w:rPr>
              <w:t>0.00%</w:t>
            </w:r>
          </w:p>
        </w:tc>
      </w:tr>
    </w:tbl>
    <w:p w:rsidR="00223A6F" w:rsidRPr="006C46BE" w:rsidRDefault="00223A6F" w:rsidP="00223A6F">
      <w:pPr>
        <w:ind w:left="720" w:hanging="720"/>
        <w:rPr>
          <w:rFonts w:cs="Arial"/>
          <w:sz w:val="22"/>
          <w:szCs w:val="22"/>
        </w:rPr>
      </w:pPr>
    </w:p>
    <w:p w:rsidR="00223A6F" w:rsidRPr="006C46BE" w:rsidRDefault="00223A6F" w:rsidP="00223A6F">
      <w:pPr>
        <w:ind w:left="720" w:hanging="720"/>
        <w:rPr>
          <w:rFonts w:cs="Arial"/>
          <w:sz w:val="22"/>
          <w:szCs w:val="22"/>
          <w:u w:val="single"/>
        </w:rPr>
      </w:pPr>
      <w:r w:rsidRPr="006C46BE">
        <w:rPr>
          <w:rFonts w:cs="Arial"/>
          <w:sz w:val="22"/>
          <w:szCs w:val="22"/>
        </w:rPr>
        <w:tab/>
      </w:r>
      <w:r w:rsidRPr="006C46BE">
        <w:rPr>
          <w:rFonts w:cs="Arial"/>
          <w:sz w:val="22"/>
          <w:szCs w:val="22"/>
          <w:u w:val="single"/>
        </w:rPr>
        <w:t>Property Investment Strategy</w:t>
      </w:r>
    </w:p>
    <w:p w:rsidR="00223A6F" w:rsidRPr="006C46BE" w:rsidRDefault="00223A6F" w:rsidP="00223A6F">
      <w:pPr>
        <w:ind w:left="720" w:hanging="720"/>
        <w:rPr>
          <w:rFonts w:cs="Arial"/>
          <w:sz w:val="22"/>
          <w:szCs w:val="22"/>
        </w:rPr>
      </w:pPr>
    </w:p>
    <w:p w:rsidR="00223A6F" w:rsidRPr="006C46BE" w:rsidRDefault="00223A6F" w:rsidP="00223A6F">
      <w:pPr>
        <w:ind w:left="720" w:hanging="720"/>
        <w:rPr>
          <w:rFonts w:cs="Arial"/>
          <w:sz w:val="22"/>
          <w:szCs w:val="22"/>
        </w:rPr>
      </w:pPr>
      <w:r w:rsidRPr="006C46BE">
        <w:rPr>
          <w:rFonts w:cs="Arial"/>
          <w:sz w:val="22"/>
          <w:szCs w:val="22"/>
        </w:rPr>
        <w:t>2.15</w:t>
      </w:r>
      <w:r w:rsidRPr="006C46BE">
        <w:rPr>
          <w:rFonts w:cs="Arial"/>
          <w:sz w:val="22"/>
          <w:szCs w:val="22"/>
        </w:rPr>
        <w:tab/>
        <w:t xml:space="preserve">One of the biggest areas of the Council’s income and expenditure relates to investments in property and regeneration schemes.  The budgets for the Property Investment Strategy were set at the start of the calendar year based on new investments being purchased half way through the year which generate a gross yield of 5% at an average borrowing rate of 3% (2% net yield).  Property purchased purely for strategic purposes could be purchased at a lower yield.  </w:t>
      </w:r>
    </w:p>
    <w:p w:rsidR="00223A6F" w:rsidRPr="006C46BE" w:rsidRDefault="00223A6F" w:rsidP="00223A6F">
      <w:pPr>
        <w:ind w:left="720" w:hanging="720"/>
        <w:rPr>
          <w:rFonts w:cs="Arial"/>
          <w:sz w:val="22"/>
          <w:szCs w:val="22"/>
        </w:rPr>
      </w:pPr>
    </w:p>
    <w:p w:rsidR="00223A6F" w:rsidRDefault="009F1077" w:rsidP="00223A6F">
      <w:pPr>
        <w:ind w:left="720" w:hanging="720"/>
        <w:rPr>
          <w:rFonts w:cs="Arial"/>
          <w:sz w:val="22"/>
          <w:szCs w:val="22"/>
        </w:rPr>
      </w:pPr>
      <w:r>
        <w:rPr>
          <w:rFonts w:cs="Arial"/>
          <w:sz w:val="22"/>
          <w:szCs w:val="22"/>
        </w:rPr>
        <w:t>2.16</w:t>
      </w:r>
      <w:r w:rsidR="00223A6F" w:rsidRPr="006C46BE">
        <w:rPr>
          <w:rFonts w:cs="Arial"/>
          <w:sz w:val="22"/>
          <w:szCs w:val="22"/>
        </w:rPr>
        <w:tab/>
        <w:t xml:space="preserve">Property investment is highly reliant on suitable properties coming onto the market and the timing differences can skew the Council’s bottom line figures quite significantly, as can the interest rates applicable at the time of purchase.  The following table sets out the original property related budgets against the revised figures based on purchases to date and assumed future purchases (using 1 October as the purchase date): </w:t>
      </w:r>
    </w:p>
    <w:p w:rsidR="003E380C" w:rsidRDefault="003E380C" w:rsidP="00223A6F">
      <w:pPr>
        <w:ind w:left="720" w:hanging="720"/>
        <w:rPr>
          <w:rFonts w:cs="Arial"/>
          <w:sz w:val="22"/>
          <w:szCs w:val="22"/>
        </w:rPr>
      </w:pPr>
    </w:p>
    <w:p w:rsidR="003E380C" w:rsidRPr="006C46BE" w:rsidRDefault="003E380C" w:rsidP="00223A6F">
      <w:pPr>
        <w:ind w:left="720" w:hanging="720"/>
        <w:rPr>
          <w:rFonts w:cs="Arial"/>
          <w:sz w:val="22"/>
          <w:szCs w:val="22"/>
        </w:rPr>
      </w:pPr>
    </w:p>
    <w:p w:rsidR="00223A6F" w:rsidRPr="006C46BE" w:rsidRDefault="00223A6F" w:rsidP="00223A6F">
      <w:pPr>
        <w:ind w:left="720" w:hanging="720"/>
        <w:rPr>
          <w:rFonts w:cs="Arial"/>
          <w:sz w:val="22"/>
          <w:szCs w:val="22"/>
        </w:rPr>
      </w:pPr>
    </w:p>
    <w:tbl>
      <w:tblPr>
        <w:tblW w:w="7502"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86"/>
        <w:gridCol w:w="1140"/>
        <w:gridCol w:w="1276"/>
      </w:tblGrid>
      <w:tr w:rsidR="00223A6F" w:rsidRPr="006C46BE" w:rsidTr="00223A6F">
        <w:trPr>
          <w:trHeight w:val="255"/>
        </w:trPr>
        <w:tc>
          <w:tcPr>
            <w:tcW w:w="7502" w:type="dxa"/>
            <w:gridSpan w:val="3"/>
            <w:tcBorders>
              <w:top w:val="dotted" w:sz="4" w:space="0" w:color="auto"/>
              <w:left w:val="dotted" w:sz="4" w:space="0" w:color="auto"/>
              <w:bottom w:val="dotted" w:sz="4" w:space="0" w:color="auto"/>
              <w:right w:val="dotted" w:sz="4" w:space="0" w:color="auto"/>
            </w:tcBorders>
            <w:shd w:val="clear" w:color="auto" w:fill="BFBFBF" w:themeFill="background1" w:themeFillShade="BF"/>
            <w:noWrap/>
            <w:vAlign w:val="center"/>
            <w:hideMark/>
          </w:tcPr>
          <w:p w:rsidR="00223A6F" w:rsidRPr="006C46BE" w:rsidRDefault="00223A6F">
            <w:pPr>
              <w:ind w:left="720" w:hanging="720"/>
              <w:jc w:val="center"/>
              <w:rPr>
                <w:rFonts w:cs="Arial"/>
                <w:sz w:val="22"/>
                <w:szCs w:val="22"/>
                <w:lang w:eastAsia="en-GB"/>
              </w:rPr>
            </w:pPr>
            <w:r w:rsidRPr="006C46BE">
              <w:rPr>
                <w:rFonts w:cs="Arial"/>
                <w:b/>
                <w:bCs/>
                <w:sz w:val="22"/>
                <w:szCs w:val="22"/>
                <w:lang w:eastAsia="en-GB"/>
              </w:rPr>
              <w:t>Table 7 – Property investment 2017/18</w:t>
            </w:r>
          </w:p>
        </w:tc>
      </w:tr>
      <w:tr w:rsidR="00223A6F" w:rsidRPr="006C46BE" w:rsidTr="00223A6F">
        <w:trPr>
          <w:trHeight w:val="255"/>
        </w:trPr>
        <w:tc>
          <w:tcPr>
            <w:tcW w:w="5086" w:type="dxa"/>
            <w:tcBorders>
              <w:top w:val="dotted" w:sz="4" w:space="0" w:color="auto"/>
              <w:left w:val="dotted" w:sz="4" w:space="0" w:color="auto"/>
              <w:bottom w:val="dotted" w:sz="4" w:space="0" w:color="auto"/>
              <w:right w:val="dotted" w:sz="4" w:space="0" w:color="auto"/>
            </w:tcBorders>
            <w:vAlign w:val="center"/>
          </w:tcPr>
          <w:p w:rsidR="00223A6F" w:rsidRPr="006C46BE" w:rsidRDefault="00223A6F">
            <w:pPr>
              <w:ind w:left="720" w:hanging="720"/>
              <w:jc w:val="center"/>
              <w:rPr>
                <w:rFonts w:cs="Arial"/>
                <w:b/>
                <w:sz w:val="22"/>
                <w:szCs w:val="22"/>
                <w:lang w:eastAsia="en-GB"/>
              </w:rPr>
            </w:pPr>
          </w:p>
        </w:tc>
        <w:tc>
          <w:tcPr>
            <w:tcW w:w="1140" w:type="dxa"/>
            <w:tcBorders>
              <w:top w:val="dotted" w:sz="4" w:space="0" w:color="auto"/>
              <w:left w:val="dotted" w:sz="4" w:space="0" w:color="auto"/>
              <w:bottom w:val="dotted" w:sz="4" w:space="0" w:color="auto"/>
              <w:right w:val="dotted" w:sz="4" w:space="0" w:color="auto"/>
            </w:tcBorders>
            <w:noWrap/>
            <w:vAlign w:val="center"/>
            <w:hideMark/>
          </w:tcPr>
          <w:p w:rsidR="00223A6F" w:rsidRPr="006C46BE" w:rsidRDefault="00223A6F">
            <w:pPr>
              <w:ind w:left="720" w:hanging="720"/>
              <w:jc w:val="center"/>
              <w:rPr>
                <w:rFonts w:cs="Arial"/>
                <w:b/>
                <w:sz w:val="22"/>
                <w:szCs w:val="22"/>
                <w:lang w:eastAsia="en-GB"/>
              </w:rPr>
            </w:pPr>
            <w:r w:rsidRPr="006C46BE">
              <w:rPr>
                <w:rFonts w:cs="Arial"/>
                <w:b/>
                <w:sz w:val="22"/>
                <w:szCs w:val="22"/>
                <w:lang w:eastAsia="en-GB"/>
              </w:rPr>
              <w:t>Original</w:t>
            </w:r>
          </w:p>
          <w:p w:rsidR="00223A6F" w:rsidRPr="006C46BE" w:rsidRDefault="00223A6F">
            <w:pPr>
              <w:ind w:left="720" w:hanging="720"/>
              <w:jc w:val="center"/>
              <w:rPr>
                <w:rFonts w:cs="Arial"/>
                <w:b/>
                <w:sz w:val="22"/>
                <w:szCs w:val="22"/>
                <w:lang w:eastAsia="en-GB"/>
              </w:rPr>
            </w:pPr>
            <w:r w:rsidRPr="006C46BE">
              <w:rPr>
                <w:rFonts w:cs="Arial"/>
                <w:b/>
                <w:sz w:val="22"/>
                <w:szCs w:val="22"/>
                <w:lang w:eastAsia="en-GB"/>
              </w:rPr>
              <w:t>Budget</w:t>
            </w:r>
          </w:p>
          <w:p w:rsidR="00223A6F" w:rsidRPr="006C46BE" w:rsidRDefault="00223A6F">
            <w:pPr>
              <w:ind w:left="720" w:hanging="720"/>
              <w:jc w:val="center"/>
              <w:rPr>
                <w:rFonts w:cs="Arial"/>
                <w:b/>
                <w:sz w:val="22"/>
                <w:szCs w:val="22"/>
                <w:lang w:eastAsia="en-GB"/>
              </w:rPr>
            </w:pPr>
            <w:r w:rsidRPr="006C46BE">
              <w:rPr>
                <w:rFonts w:cs="Arial"/>
                <w:b/>
                <w:sz w:val="22"/>
                <w:szCs w:val="22"/>
                <w:lang w:eastAsia="en-GB"/>
              </w:rPr>
              <w:t>£000</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720" w:hanging="720"/>
              <w:jc w:val="center"/>
              <w:rPr>
                <w:rFonts w:cs="Arial"/>
                <w:b/>
                <w:bCs/>
                <w:sz w:val="22"/>
                <w:szCs w:val="22"/>
                <w:lang w:eastAsia="en-GB"/>
              </w:rPr>
            </w:pPr>
            <w:r w:rsidRPr="006C46BE">
              <w:rPr>
                <w:rFonts w:cs="Arial"/>
                <w:b/>
                <w:bCs/>
                <w:sz w:val="22"/>
                <w:szCs w:val="22"/>
                <w:lang w:eastAsia="en-GB"/>
              </w:rPr>
              <w:t>Revised</w:t>
            </w:r>
          </w:p>
          <w:p w:rsidR="00223A6F" w:rsidRPr="006C46BE" w:rsidRDefault="00223A6F">
            <w:pPr>
              <w:ind w:left="720" w:hanging="720"/>
              <w:jc w:val="center"/>
              <w:rPr>
                <w:rFonts w:cs="Arial"/>
                <w:b/>
                <w:bCs/>
                <w:sz w:val="22"/>
                <w:szCs w:val="22"/>
                <w:lang w:eastAsia="en-GB"/>
              </w:rPr>
            </w:pPr>
            <w:r w:rsidRPr="006C46BE">
              <w:rPr>
                <w:rFonts w:cs="Arial"/>
                <w:b/>
                <w:bCs/>
                <w:sz w:val="22"/>
                <w:szCs w:val="22"/>
                <w:lang w:eastAsia="en-GB"/>
              </w:rPr>
              <w:t>Budget</w:t>
            </w:r>
          </w:p>
          <w:p w:rsidR="00223A6F" w:rsidRPr="006C46BE" w:rsidRDefault="00223A6F">
            <w:pPr>
              <w:ind w:left="720" w:hanging="720"/>
              <w:jc w:val="center"/>
              <w:rPr>
                <w:rFonts w:cs="Arial"/>
                <w:b/>
                <w:bCs/>
                <w:sz w:val="22"/>
                <w:szCs w:val="22"/>
                <w:lang w:eastAsia="en-GB"/>
              </w:rPr>
            </w:pPr>
            <w:r w:rsidRPr="006C46BE">
              <w:rPr>
                <w:rFonts w:cs="Arial"/>
                <w:b/>
                <w:bCs/>
                <w:sz w:val="22"/>
                <w:szCs w:val="22"/>
                <w:lang w:eastAsia="en-GB"/>
              </w:rPr>
              <w:t>£000</w:t>
            </w:r>
          </w:p>
        </w:tc>
      </w:tr>
      <w:tr w:rsidR="00223A6F" w:rsidRPr="006C46BE" w:rsidTr="00223A6F">
        <w:trPr>
          <w:trHeight w:val="255"/>
        </w:trPr>
        <w:tc>
          <w:tcPr>
            <w:tcW w:w="5086" w:type="dxa"/>
            <w:tcBorders>
              <w:top w:val="dotted" w:sz="4" w:space="0" w:color="auto"/>
              <w:left w:val="dotted" w:sz="4" w:space="0" w:color="auto"/>
              <w:bottom w:val="dotted" w:sz="4" w:space="0" w:color="auto"/>
              <w:right w:val="dotted" w:sz="4" w:space="0" w:color="auto"/>
            </w:tcBorders>
            <w:vAlign w:val="bottom"/>
            <w:hideMark/>
          </w:tcPr>
          <w:p w:rsidR="00223A6F" w:rsidRPr="006C46BE" w:rsidRDefault="00223A6F">
            <w:pPr>
              <w:tabs>
                <w:tab w:val="left" w:pos="522"/>
              </w:tabs>
              <w:rPr>
                <w:rFonts w:cs="Arial"/>
                <w:sz w:val="22"/>
                <w:szCs w:val="22"/>
                <w:highlight w:val="yellow"/>
                <w:lang w:eastAsia="en-GB"/>
              </w:rPr>
            </w:pPr>
            <w:r w:rsidRPr="006C46BE">
              <w:rPr>
                <w:rFonts w:cs="Arial"/>
                <w:sz w:val="22"/>
                <w:szCs w:val="22"/>
                <w:lang w:eastAsia="en-GB"/>
              </w:rPr>
              <w:t>Rental income from all commercial property</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40"/>
              <w:jc w:val="right"/>
              <w:rPr>
                <w:rFonts w:cs="Arial"/>
                <w:sz w:val="22"/>
                <w:szCs w:val="22"/>
                <w:lang w:eastAsia="en-GB"/>
              </w:rPr>
            </w:pPr>
            <w:r w:rsidRPr="006C46BE">
              <w:rPr>
                <w:rFonts w:cs="Arial"/>
                <w:sz w:val="22"/>
                <w:szCs w:val="22"/>
                <w:lang w:eastAsia="en-GB"/>
              </w:rPr>
              <w:t>(12,201)</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ind w:left="34"/>
              <w:jc w:val="right"/>
              <w:rPr>
                <w:rFonts w:cs="Arial"/>
                <w:sz w:val="22"/>
                <w:szCs w:val="22"/>
                <w:highlight w:val="yellow"/>
                <w:lang w:eastAsia="en-GB"/>
              </w:rPr>
            </w:pPr>
            <w:r w:rsidRPr="006C46BE">
              <w:rPr>
                <w:rFonts w:cs="Arial"/>
                <w:sz w:val="22"/>
                <w:szCs w:val="22"/>
                <w:lang w:eastAsia="en-GB"/>
              </w:rPr>
              <w:t>(12,108)</w:t>
            </w:r>
          </w:p>
        </w:tc>
      </w:tr>
      <w:tr w:rsidR="00223A6F" w:rsidRPr="006C46BE" w:rsidTr="00223A6F">
        <w:trPr>
          <w:trHeight w:val="255"/>
        </w:trPr>
        <w:tc>
          <w:tcPr>
            <w:tcW w:w="5086" w:type="dxa"/>
            <w:tcBorders>
              <w:top w:val="dotted" w:sz="4" w:space="0" w:color="auto"/>
              <w:left w:val="dotted" w:sz="4" w:space="0" w:color="auto"/>
              <w:bottom w:val="dotted" w:sz="4" w:space="0" w:color="auto"/>
              <w:right w:val="dotted" w:sz="4" w:space="0" w:color="auto"/>
            </w:tcBorders>
            <w:vAlign w:val="bottom"/>
            <w:hideMark/>
          </w:tcPr>
          <w:p w:rsidR="00223A6F" w:rsidRPr="006C46BE" w:rsidRDefault="00223A6F">
            <w:pPr>
              <w:tabs>
                <w:tab w:val="left" w:pos="522"/>
              </w:tabs>
              <w:rPr>
                <w:rFonts w:cs="Arial"/>
                <w:sz w:val="22"/>
                <w:szCs w:val="22"/>
                <w:lang w:eastAsia="en-GB"/>
              </w:rPr>
            </w:pPr>
            <w:r w:rsidRPr="006C46BE">
              <w:rPr>
                <w:rFonts w:cs="Arial"/>
                <w:sz w:val="22"/>
                <w:szCs w:val="22"/>
                <w:lang w:eastAsia="en-GB"/>
              </w:rPr>
              <w:t>Borrowing costs (Interest)</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40"/>
              <w:jc w:val="right"/>
              <w:rPr>
                <w:rFonts w:cs="Arial"/>
                <w:sz w:val="22"/>
                <w:szCs w:val="22"/>
                <w:lang w:eastAsia="en-GB"/>
              </w:rPr>
            </w:pPr>
            <w:r w:rsidRPr="006C46BE">
              <w:rPr>
                <w:rFonts w:cs="Arial"/>
                <w:sz w:val="22"/>
                <w:szCs w:val="22"/>
                <w:lang w:eastAsia="en-GB"/>
              </w:rPr>
              <w:t>6,577</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40"/>
              <w:jc w:val="right"/>
              <w:rPr>
                <w:rFonts w:cs="Arial"/>
                <w:sz w:val="22"/>
                <w:szCs w:val="22"/>
                <w:lang w:eastAsia="en-GB"/>
              </w:rPr>
            </w:pPr>
            <w:r w:rsidRPr="006C46BE">
              <w:rPr>
                <w:rFonts w:cs="Arial"/>
                <w:sz w:val="22"/>
                <w:szCs w:val="22"/>
                <w:lang w:eastAsia="en-GB"/>
              </w:rPr>
              <w:t>6,577</w:t>
            </w:r>
          </w:p>
        </w:tc>
      </w:tr>
      <w:tr w:rsidR="00223A6F" w:rsidRPr="006C46BE" w:rsidTr="00223A6F">
        <w:trPr>
          <w:trHeight w:val="255"/>
        </w:trPr>
        <w:tc>
          <w:tcPr>
            <w:tcW w:w="5086" w:type="dxa"/>
            <w:tcBorders>
              <w:top w:val="dotted" w:sz="4" w:space="0" w:color="auto"/>
              <w:left w:val="dotted" w:sz="4" w:space="0" w:color="auto"/>
              <w:bottom w:val="dotted" w:sz="4" w:space="0" w:color="auto"/>
              <w:right w:val="dotted" w:sz="4" w:space="0" w:color="auto"/>
            </w:tcBorders>
            <w:vAlign w:val="bottom"/>
            <w:hideMark/>
          </w:tcPr>
          <w:p w:rsidR="00223A6F" w:rsidRPr="006C46BE" w:rsidRDefault="00223A6F">
            <w:pPr>
              <w:tabs>
                <w:tab w:val="left" w:pos="522"/>
              </w:tabs>
              <w:rPr>
                <w:rFonts w:cs="Arial"/>
                <w:sz w:val="22"/>
                <w:szCs w:val="22"/>
                <w:lang w:eastAsia="en-GB"/>
              </w:rPr>
            </w:pPr>
            <w:r w:rsidRPr="006C46BE">
              <w:rPr>
                <w:rFonts w:cs="Arial"/>
                <w:sz w:val="22"/>
                <w:szCs w:val="22"/>
                <w:lang w:eastAsia="en-GB"/>
              </w:rPr>
              <w:t>Minimum Revenue Provision (MRP)</w:t>
            </w:r>
          </w:p>
        </w:tc>
        <w:tc>
          <w:tcPr>
            <w:tcW w:w="1140" w:type="dxa"/>
            <w:tcBorders>
              <w:top w:val="dotted" w:sz="4" w:space="0" w:color="auto"/>
              <w:left w:val="dotted" w:sz="4" w:space="0" w:color="auto"/>
              <w:bottom w:val="single" w:sz="4" w:space="0" w:color="auto"/>
              <w:right w:val="dotted" w:sz="4" w:space="0" w:color="auto"/>
            </w:tcBorders>
            <w:noWrap/>
            <w:vAlign w:val="bottom"/>
            <w:hideMark/>
          </w:tcPr>
          <w:p w:rsidR="00223A6F" w:rsidRPr="006C46BE" w:rsidRDefault="00223A6F">
            <w:pPr>
              <w:tabs>
                <w:tab w:val="left" w:pos="522"/>
              </w:tabs>
              <w:ind w:left="40"/>
              <w:jc w:val="right"/>
              <w:rPr>
                <w:rFonts w:cs="Arial"/>
                <w:sz w:val="22"/>
                <w:szCs w:val="22"/>
                <w:lang w:eastAsia="en-GB"/>
              </w:rPr>
            </w:pPr>
            <w:r w:rsidRPr="006C46BE">
              <w:rPr>
                <w:rFonts w:cs="Arial"/>
                <w:sz w:val="22"/>
                <w:szCs w:val="22"/>
                <w:lang w:eastAsia="en-GB"/>
              </w:rPr>
              <w:t>1,916</w:t>
            </w: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223A6F" w:rsidRPr="006C46BE" w:rsidRDefault="00223A6F">
            <w:pPr>
              <w:tabs>
                <w:tab w:val="left" w:pos="522"/>
              </w:tabs>
              <w:ind w:left="40"/>
              <w:jc w:val="right"/>
              <w:rPr>
                <w:rFonts w:cs="Arial"/>
                <w:sz w:val="22"/>
                <w:szCs w:val="22"/>
                <w:lang w:eastAsia="en-GB"/>
              </w:rPr>
            </w:pPr>
            <w:r w:rsidRPr="006C46BE">
              <w:rPr>
                <w:rFonts w:cs="Arial"/>
                <w:sz w:val="22"/>
                <w:szCs w:val="22"/>
                <w:lang w:eastAsia="en-GB"/>
              </w:rPr>
              <w:t>1,916</w:t>
            </w:r>
          </w:p>
        </w:tc>
      </w:tr>
      <w:tr w:rsidR="00223A6F" w:rsidRPr="006C46BE" w:rsidTr="00223A6F">
        <w:trPr>
          <w:trHeight w:val="255"/>
        </w:trPr>
        <w:tc>
          <w:tcPr>
            <w:tcW w:w="5086" w:type="dxa"/>
            <w:tcBorders>
              <w:top w:val="dotted" w:sz="4" w:space="0" w:color="auto"/>
              <w:left w:val="dotted" w:sz="4" w:space="0" w:color="auto"/>
              <w:bottom w:val="dotted" w:sz="4" w:space="0" w:color="auto"/>
              <w:right w:val="dotted" w:sz="4" w:space="0" w:color="auto"/>
            </w:tcBorders>
            <w:vAlign w:val="bottom"/>
            <w:hideMark/>
          </w:tcPr>
          <w:p w:rsidR="00223A6F" w:rsidRPr="006C46BE" w:rsidRDefault="00223A6F">
            <w:pPr>
              <w:tabs>
                <w:tab w:val="left" w:pos="522"/>
              </w:tabs>
              <w:rPr>
                <w:rFonts w:cs="Arial"/>
                <w:b/>
                <w:sz w:val="22"/>
                <w:szCs w:val="22"/>
                <w:lang w:eastAsia="en-GB"/>
              </w:rPr>
            </w:pPr>
            <w:r w:rsidRPr="006C46BE">
              <w:rPr>
                <w:rFonts w:cs="Arial"/>
                <w:b/>
                <w:sz w:val="22"/>
                <w:szCs w:val="22"/>
                <w:lang w:eastAsia="en-GB"/>
              </w:rPr>
              <w:t>Net income</w:t>
            </w:r>
          </w:p>
        </w:tc>
        <w:tc>
          <w:tcPr>
            <w:tcW w:w="1140" w:type="dxa"/>
            <w:tcBorders>
              <w:top w:val="single" w:sz="4" w:space="0" w:color="auto"/>
              <w:left w:val="dotted" w:sz="4" w:space="0" w:color="auto"/>
              <w:bottom w:val="single" w:sz="4" w:space="0" w:color="auto"/>
              <w:right w:val="dotted" w:sz="4" w:space="0" w:color="auto"/>
            </w:tcBorders>
            <w:noWrap/>
            <w:vAlign w:val="bottom"/>
            <w:hideMark/>
          </w:tcPr>
          <w:p w:rsidR="00223A6F" w:rsidRPr="006C46BE" w:rsidRDefault="00223A6F">
            <w:pPr>
              <w:tabs>
                <w:tab w:val="left" w:pos="522"/>
              </w:tabs>
              <w:ind w:left="40"/>
              <w:jc w:val="right"/>
              <w:rPr>
                <w:rFonts w:cs="Arial"/>
                <w:b/>
                <w:sz w:val="22"/>
                <w:szCs w:val="22"/>
                <w:lang w:eastAsia="en-GB"/>
              </w:rPr>
            </w:pPr>
            <w:r w:rsidRPr="006C46BE">
              <w:rPr>
                <w:rFonts w:cs="Arial"/>
                <w:b/>
                <w:sz w:val="22"/>
                <w:szCs w:val="22"/>
                <w:lang w:eastAsia="en-GB"/>
              </w:rPr>
              <w:t>(3,708)</w:t>
            </w:r>
          </w:p>
        </w:tc>
        <w:tc>
          <w:tcPr>
            <w:tcW w:w="1276" w:type="dxa"/>
            <w:tcBorders>
              <w:top w:val="single" w:sz="4" w:space="0" w:color="auto"/>
              <w:left w:val="dotted" w:sz="4" w:space="0" w:color="auto"/>
              <w:bottom w:val="single" w:sz="4" w:space="0" w:color="auto"/>
              <w:right w:val="dotted" w:sz="4" w:space="0" w:color="auto"/>
            </w:tcBorders>
            <w:noWrap/>
            <w:vAlign w:val="bottom"/>
            <w:hideMark/>
          </w:tcPr>
          <w:p w:rsidR="00223A6F" w:rsidRPr="006C46BE" w:rsidRDefault="00223A6F">
            <w:pPr>
              <w:ind w:left="34"/>
              <w:jc w:val="right"/>
              <w:rPr>
                <w:rFonts w:cs="Arial"/>
                <w:b/>
                <w:sz w:val="22"/>
                <w:szCs w:val="22"/>
                <w:highlight w:val="yellow"/>
                <w:lang w:eastAsia="en-GB"/>
              </w:rPr>
            </w:pPr>
            <w:r w:rsidRPr="006C46BE">
              <w:rPr>
                <w:rFonts w:cs="Arial"/>
                <w:b/>
                <w:sz w:val="22"/>
                <w:szCs w:val="22"/>
                <w:lang w:eastAsia="en-GB"/>
              </w:rPr>
              <w:t>(3,615)</w:t>
            </w:r>
          </w:p>
        </w:tc>
      </w:tr>
    </w:tbl>
    <w:p w:rsidR="00223A6F" w:rsidRPr="006C46BE" w:rsidRDefault="00223A6F" w:rsidP="00223A6F">
      <w:pPr>
        <w:ind w:left="720" w:hanging="720"/>
        <w:rPr>
          <w:rFonts w:cs="Arial"/>
          <w:sz w:val="22"/>
          <w:szCs w:val="22"/>
        </w:rPr>
      </w:pPr>
    </w:p>
    <w:p w:rsidR="00223A6F" w:rsidRPr="006C46BE" w:rsidRDefault="009F1077" w:rsidP="00223A6F">
      <w:pPr>
        <w:ind w:left="720" w:hanging="720"/>
        <w:rPr>
          <w:rFonts w:cs="Arial"/>
          <w:sz w:val="22"/>
          <w:szCs w:val="22"/>
        </w:rPr>
      </w:pPr>
      <w:r>
        <w:rPr>
          <w:rFonts w:cs="Arial"/>
          <w:sz w:val="22"/>
          <w:szCs w:val="22"/>
        </w:rPr>
        <w:t>2.17</w:t>
      </w:r>
      <w:r w:rsidR="00223A6F" w:rsidRPr="006C46BE">
        <w:rPr>
          <w:rFonts w:cs="Arial"/>
          <w:sz w:val="22"/>
          <w:szCs w:val="22"/>
        </w:rPr>
        <w:tab/>
        <w:t xml:space="preserve">The original rental income figure included a £5m income target from new investments in 2017/18.  It is assumed in the above figures that sufficient properties will be purchased to cover this figure.  The drop in rental income highlighted in table 7 above stems principally from some of the lost income from the properties highlighted at the bottom of table 2 above. </w:t>
      </w:r>
    </w:p>
    <w:p w:rsidR="00223A6F" w:rsidRPr="006C46BE" w:rsidRDefault="00223A6F" w:rsidP="00223A6F">
      <w:pPr>
        <w:ind w:left="720" w:hanging="720"/>
        <w:rPr>
          <w:rFonts w:cs="Arial"/>
          <w:sz w:val="22"/>
          <w:szCs w:val="22"/>
        </w:rPr>
      </w:pPr>
    </w:p>
    <w:p w:rsidR="00223A6F" w:rsidRPr="009F1077" w:rsidRDefault="00223A6F" w:rsidP="00223A6F">
      <w:pPr>
        <w:ind w:left="720" w:hanging="720"/>
        <w:rPr>
          <w:rFonts w:cs="Arial"/>
          <w:b/>
          <w:sz w:val="22"/>
          <w:szCs w:val="22"/>
        </w:rPr>
      </w:pPr>
      <w:r w:rsidRPr="006C46BE">
        <w:rPr>
          <w:rFonts w:cs="Arial"/>
          <w:b/>
          <w:sz w:val="22"/>
          <w:szCs w:val="22"/>
        </w:rPr>
        <w:t>3</w:t>
      </w:r>
      <w:r w:rsidR="009F1077">
        <w:rPr>
          <w:rFonts w:cs="Arial"/>
          <w:b/>
          <w:sz w:val="22"/>
          <w:szCs w:val="22"/>
        </w:rPr>
        <w:t>.</w:t>
      </w:r>
      <w:r w:rsidRPr="006C46BE">
        <w:rPr>
          <w:rFonts w:cs="Arial"/>
          <w:b/>
          <w:sz w:val="22"/>
          <w:szCs w:val="22"/>
        </w:rPr>
        <w:tab/>
      </w:r>
      <w:r w:rsidRPr="009F1077">
        <w:rPr>
          <w:rFonts w:cs="Arial"/>
          <w:b/>
          <w:sz w:val="22"/>
          <w:szCs w:val="22"/>
        </w:rPr>
        <w:t>Housing Revenue Account (HRA)</w:t>
      </w:r>
    </w:p>
    <w:p w:rsidR="00223A6F" w:rsidRPr="006C46BE" w:rsidRDefault="00223A6F" w:rsidP="00223A6F">
      <w:pPr>
        <w:ind w:left="720" w:hanging="720"/>
        <w:rPr>
          <w:rFonts w:cs="Arial"/>
          <w:sz w:val="22"/>
          <w:szCs w:val="22"/>
          <w:u w:val="single"/>
        </w:rPr>
      </w:pPr>
    </w:p>
    <w:p w:rsidR="00223A6F" w:rsidRPr="006C46BE" w:rsidRDefault="00223A6F" w:rsidP="00223A6F">
      <w:pPr>
        <w:ind w:left="720" w:hanging="720"/>
        <w:rPr>
          <w:rFonts w:cs="Arial"/>
          <w:sz w:val="22"/>
          <w:szCs w:val="22"/>
        </w:rPr>
      </w:pPr>
      <w:r w:rsidRPr="006C46BE">
        <w:rPr>
          <w:rFonts w:cs="Arial"/>
          <w:sz w:val="22"/>
          <w:szCs w:val="22"/>
        </w:rPr>
        <w:t>3.1</w:t>
      </w:r>
      <w:r w:rsidRPr="006C46BE">
        <w:rPr>
          <w:rFonts w:cs="Arial"/>
          <w:sz w:val="22"/>
          <w:szCs w:val="22"/>
        </w:rPr>
        <w:tab/>
        <w:t>The detailed Housing Revenue Account budget for 2017/18 approved in January 2017 predicted a sur</w:t>
      </w:r>
      <w:r w:rsidR="009F1077">
        <w:rPr>
          <w:rFonts w:cs="Arial"/>
          <w:sz w:val="22"/>
          <w:szCs w:val="22"/>
        </w:rPr>
        <w:t xml:space="preserve">plus for the year of £4.358m.  </w:t>
      </w:r>
      <w:r w:rsidRPr="006C46BE">
        <w:rPr>
          <w:rFonts w:cs="Arial"/>
          <w:sz w:val="22"/>
          <w:szCs w:val="22"/>
        </w:rPr>
        <w:t>The projected year-end surplus for the HRA is now expected to be £4.324m</w:t>
      </w:r>
      <w:r w:rsidR="009F1077">
        <w:rPr>
          <w:rFonts w:cs="Arial"/>
          <w:sz w:val="22"/>
          <w:szCs w:val="22"/>
        </w:rPr>
        <w:t>,</w:t>
      </w:r>
      <w:r w:rsidRPr="006C46BE">
        <w:rPr>
          <w:rFonts w:cs="Arial"/>
          <w:sz w:val="22"/>
          <w:szCs w:val="22"/>
        </w:rPr>
        <w:t xml:space="preserve"> a reduction of £34,000. </w:t>
      </w:r>
      <w:r w:rsidR="009F1077">
        <w:rPr>
          <w:rFonts w:cs="Arial"/>
          <w:sz w:val="22"/>
          <w:szCs w:val="22"/>
        </w:rPr>
        <w:t xml:space="preserve"> </w:t>
      </w:r>
      <w:r w:rsidRPr="006C46BE">
        <w:rPr>
          <w:rFonts w:cs="Arial"/>
          <w:sz w:val="22"/>
          <w:szCs w:val="22"/>
        </w:rPr>
        <w:t>The more significant variances are listed in table 8 below:</w:t>
      </w:r>
    </w:p>
    <w:p w:rsidR="00223A6F" w:rsidRPr="006C46BE" w:rsidRDefault="00223A6F" w:rsidP="00223A6F">
      <w:pPr>
        <w:tabs>
          <w:tab w:val="left" w:pos="6465"/>
        </w:tabs>
        <w:ind w:left="720" w:hanging="720"/>
        <w:rPr>
          <w:rFonts w:cs="Arial"/>
          <w:sz w:val="22"/>
          <w:szCs w:val="22"/>
        </w:rPr>
      </w:pPr>
      <w:r w:rsidRPr="006C46BE">
        <w:rPr>
          <w:rFonts w:cs="Arial"/>
          <w:sz w:val="22"/>
          <w:szCs w:val="22"/>
        </w:rPr>
        <w:tab/>
      </w:r>
      <w:r w:rsidRPr="006C46BE">
        <w:rPr>
          <w:rFonts w:cs="Arial"/>
          <w:sz w:val="22"/>
          <w:szCs w:val="22"/>
        </w:rPr>
        <w:tab/>
      </w:r>
    </w:p>
    <w:tbl>
      <w:tblPr>
        <w:tblW w:w="8211"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51"/>
        <w:gridCol w:w="1560"/>
      </w:tblGrid>
      <w:tr w:rsidR="00223A6F" w:rsidRPr="006C46BE" w:rsidTr="00223A6F">
        <w:trPr>
          <w:trHeight w:val="255"/>
        </w:trPr>
        <w:tc>
          <w:tcPr>
            <w:tcW w:w="8211"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noWrap/>
            <w:vAlign w:val="bottom"/>
            <w:hideMark/>
          </w:tcPr>
          <w:p w:rsidR="00223A6F" w:rsidRPr="006C46BE" w:rsidRDefault="00223A6F">
            <w:pPr>
              <w:jc w:val="center"/>
              <w:rPr>
                <w:rFonts w:cs="Arial"/>
                <w:b/>
                <w:sz w:val="22"/>
                <w:szCs w:val="22"/>
                <w:lang w:eastAsia="en-GB"/>
              </w:rPr>
            </w:pPr>
            <w:r w:rsidRPr="006C46BE">
              <w:rPr>
                <w:rFonts w:cs="Arial"/>
                <w:b/>
                <w:sz w:val="22"/>
                <w:szCs w:val="22"/>
                <w:lang w:eastAsia="en-GB"/>
              </w:rPr>
              <w:t>Tabl</w:t>
            </w:r>
            <w:r w:rsidRPr="006C46BE">
              <w:rPr>
                <w:rFonts w:cs="Arial"/>
                <w:b/>
                <w:sz w:val="22"/>
                <w:szCs w:val="22"/>
                <w:shd w:val="clear" w:color="auto" w:fill="BFBFBF" w:themeFill="background1" w:themeFillShade="BF"/>
                <w:lang w:eastAsia="en-GB"/>
              </w:rPr>
              <w:t>e 8 – Predicted HRA surplus for 2017/18</w:t>
            </w:r>
          </w:p>
        </w:tc>
      </w:tr>
      <w:tr w:rsidR="00223A6F" w:rsidRPr="006C46BE" w:rsidTr="00223A6F">
        <w:trPr>
          <w:trHeight w:val="255"/>
        </w:trPr>
        <w:tc>
          <w:tcPr>
            <w:tcW w:w="6651"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tabs>
                <w:tab w:val="left" w:pos="522"/>
              </w:tabs>
              <w:ind w:left="162"/>
              <w:rPr>
                <w:rStyle w:val="endsenrhsennumparatext"/>
                <w:rFonts w:cs="Arial"/>
                <w:b/>
                <w:sz w:val="22"/>
                <w:szCs w:val="22"/>
                <w:lang w:val="en"/>
              </w:rPr>
            </w:pPr>
          </w:p>
        </w:tc>
        <w:tc>
          <w:tcPr>
            <w:tcW w:w="1560" w:type="dxa"/>
            <w:tcBorders>
              <w:top w:val="dotted" w:sz="4" w:space="0" w:color="auto"/>
              <w:left w:val="dotted" w:sz="4" w:space="0" w:color="auto"/>
              <w:bottom w:val="dotted" w:sz="4" w:space="0" w:color="auto"/>
              <w:right w:val="dotted" w:sz="4" w:space="0" w:color="auto"/>
            </w:tcBorders>
            <w:noWrap/>
            <w:hideMark/>
          </w:tcPr>
          <w:p w:rsidR="00223A6F" w:rsidRPr="006C46BE" w:rsidRDefault="00223A6F">
            <w:pPr>
              <w:jc w:val="center"/>
              <w:rPr>
                <w:rFonts w:cs="Arial"/>
                <w:b/>
                <w:sz w:val="22"/>
                <w:szCs w:val="22"/>
                <w:lang w:eastAsia="en-GB"/>
              </w:rPr>
            </w:pPr>
            <w:r w:rsidRPr="006C46BE">
              <w:rPr>
                <w:rFonts w:cs="Arial"/>
                <w:b/>
                <w:sz w:val="22"/>
                <w:szCs w:val="22"/>
                <w:lang w:eastAsia="en-GB"/>
              </w:rPr>
              <w:t>2017/18</w:t>
            </w:r>
          </w:p>
          <w:p w:rsidR="00223A6F" w:rsidRPr="006C46BE" w:rsidRDefault="00223A6F">
            <w:pPr>
              <w:jc w:val="center"/>
              <w:rPr>
                <w:rFonts w:cs="Arial"/>
                <w:sz w:val="22"/>
                <w:szCs w:val="22"/>
              </w:rPr>
            </w:pPr>
            <w:r w:rsidRPr="006C46BE">
              <w:rPr>
                <w:rFonts w:cs="Arial"/>
                <w:b/>
                <w:sz w:val="22"/>
                <w:szCs w:val="22"/>
                <w:lang w:eastAsia="en-GB"/>
              </w:rPr>
              <w:t>£’000</w:t>
            </w:r>
          </w:p>
        </w:tc>
      </w:tr>
      <w:tr w:rsidR="00223A6F" w:rsidRPr="006C46BE" w:rsidTr="00223A6F">
        <w:trPr>
          <w:trHeight w:val="255"/>
        </w:trPr>
        <w:tc>
          <w:tcPr>
            <w:tcW w:w="6651"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162"/>
              <w:rPr>
                <w:rStyle w:val="endsenrhsennumparatext"/>
                <w:rFonts w:cs="Arial"/>
                <w:b/>
                <w:sz w:val="22"/>
                <w:szCs w:val="22"/>
                <w:lang w:val="en"/>
              </w:rPr>
            </w:pPr>
            <w:r w:rsidRPr="006C46BE">
              <w:rPr>
                <w:rStyle w:val="endsenrhsennumparatext"/>
                <w:rFonts w:cs="Arial"/>
                <w:b/>
                <w:sz w:val="22"/>
                <w:szCs w:val="22"/>
                <w:lang w:val="en"/>
              </w:rPr>
              <w:t>Original (Surplus) / Deficit in the year:</w:t>
            </w:r>
          </w:p>
        </w:tc>
        <w:tc>
          <w:tcPr>
            <w:tcW w:w="1560" w:type="dxa"/>
            <w:tcBorders>
              <w:top w:val="dotted" w:sz="4" w:space="0" w:color="auto"/>
              <w:left w:val="dotted" w:sz="4" w:space="0" w:color="auto"/>
              <w:bottom w:val="dotted" w:sz="4" w:space="0" w:color="auto"/>
              <w:right w:val="dotted" w:sz="4" w:space="0" w:color="auto"/>
            </w:tcBorders>
            <w:noWrap/>
            <w:hideMark/>
          </w:tcPr>
          <w:p w:rsidR="00223A6F" w:rsidRPr="006C46BE" w:rsidRDefault="00223A6F">
            <w:pPr>
              <w:jc w:val="right"/>
              <w:rPr>
                <w:rFonts w:cs="Arial"/>
                <w:b/>
                <w:sz w:val="22"/>
                <w:szCs w:val="22"/>
                <w:lang w:eastAsia="en-GB"/>
              </w:rPr>
            </w:pPr>
            <w:r w:rsidRPr="006C46BE">
              <w:rPr>
                <w:rFonts w:cs="Arial"/>
                <w:b/>
                <w:sz w:val="22"/>
                <w:szCs w:val="22"/>
                <w:lang w:eastAsia="en-GB"/>
              </w:rPr>
              <w:t>(4,358)</w:t>
            </w:r>
          </w:p>
        </w:tc>
      </w:tr>
      <w:tr w:rsidR="00223A6F" w:rsidRPr="006C46BE" w:rsidTr="00223A6F">
        <w:trPr>
          <w:trHeight w:val="255"/>
        </w:trPr>
        <w:tc>
          <w:tcPr>
            <w:tcW w:w="6651"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tabs>
                <w:tab w:val="left" w:pos="522"/>
              </w:tabs>
              <w:ind w:left="162"/>
              <w:rPr>
                <w:rStyle w:val="endsenrhsennumparatext"/>
                <w:rFonts w:cs="Arial"/>
                <w:sz w:val="22"/>
                <w:szCs w:val="22"/>
                <w:highlight w:val="yellow"/>
                <w:lang w:val="en"/>
              </w:rPr>
            </w:pPr>
          </w:p>
        </w:tc>
        <w:tc>
          <w:tcPr>
            <w:tcW w:w="1560" w:type="dxa"/>
            <w:tcBorders>
              <w:top w:val="dotted" w:sz="4" w:space="0" w:color="auto"/>
              <w:left w:val="dotted" w:sz="4" w:space="0" w:color="auto"/>
              <w:bottom w:val="dotted" w:sz="4" w:space="0" w:color="auto"/>
              <w:right w:val="dotted" w:sz="4" w:space="0" w:color="auto"/>
            </w:tcBorders>
            <w:noWrap/>
          </w:tcPr>
          <w:p w:rsidR="00223A6F" w:rsidRPr="006C46BE" w:rsidRDefault="00223A6F">
            <w:pPr>
              <w:jc w:val="right"/>
              <w:rPr>
                <w:rFonts w:cs="Arial"/>
                <w:sz w:val="22"/>
                <w:szCs w:val="22"/>
                <w:highlight w:val="yellow"/>
                <w:lang w:eastAsia="en-GB"/>
              </w:rPr>
            </w:pPr>
          </w:p>
        </w:tc>
      </w:tr>
      <w:tr w:rsidR="00223A6F" w:rsidRPr="006C46BE" w:rsidTr="00223A6F">
        <w:trPr>
          <w:trHeight w:val="255"/>
        </w:trPr>
        <w:tc>
          <w:tcPr>
            <w:tcW w:w="6651"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162"/>
              <w:rPr>
                <w:rStyle w:val="endsenrhsennumparatext"/>
                <w:rFonts w:cs="Arial"/>
                <w:b/>
                <w:sz w:val="22"/>
                <w:szCs w:val="22"/>
                <w:highlight w:val="yellow"/>
                <w:lang w:val="en"/>
              </w:rPr>
            </w:pPr>
            <w:r w:rsidRPr="006C46BE">
              <w:rPr>
                <w:rStyle w:val="endsenrhsennumparatext"/>
                <w:rFonts w:cs="Arial"/>
                <w:b/>
                <w:sz w:val="22"/>
                <w:szCs w:val="22"/>
                <w:lang w:val="en"/>
              </w:rPr>
              <w:t>General Management</w:t>
            </w:r>
          </w:p>
        </w:tc>
        <w:tc>
          <w:tcPr>
            <w:tcW w:w="1560" w:type="dxa"/>
            <w:tcBorders>
              <w:top w:val="dotted" w:sz="4" w:space="0" w:color="auto"/>
              <w:left w:val="dotted" w:sz="4" w:space="0" w:color="auto"/>
              <w:bottom w:val="dotted" w:sz="4" w:space="0" w:color="auto"/>
              <w:right w:val="dotted" w:sz="4" w:space="0" w:color="auto"/>
            </w:tcBorders>
            <w:noWrap/>
          </w:tcPr>
          <w:p w:rsidR="00223A6F" w:rsidRPr="006C46BE" w:rsidRDefault="00223A6F">
            <w:pPr>
              <w:jc w:val="right"/>
              <w:rPr>
                <w:rFonts w:cs="Arial"/>
                <w:sz w:val="22"/>
                <w:szCs w:val="22"/>
                <w:highlight w:val="yellow"/>
                <w:lang w:eastAsia="en-GB"/>
              </w:rPr>
            </w:pPr>
          </w:p>
        </w:tc>
      </w:tr>
      <w:tr w:rsidR="00223A6F" w:rsidRPr="006C46BE" w:rsidTr="00223A6F">
        <w:trPr>
          <w:trHeight w:val="255"/>
        </w:trPr>
        <w:tc>
          <w:tcPr>
            <w:tcW w:w="6651"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pStyle w:val="ListParagraph"/>
              <w:numPr>
                <w:ilvl w:val="0"/>
                <w:numId w:val="28"/>
              </w:numPr>
              <w:tabs>
                <w:tab w:val="left" w:pos="522"/>
              </w:tabs>
              <w:spacing w:after="0" w:line="240" w:lineRule="auto"/>
              <w:ind w:left="590" w:hanging="425"/>
              <w:rPr>
                <w:rStyle w:val="endsenrhsennumparatext"/>
                <w:rFonts w:ascii="Arial" w:hAnsi="Arial" w:cs="Arial"/>
                <w:lang w:val="en"/>
              </w:rPr>
            </w:pPr>
            <w:r w:rsidRPr="006C46BE">
              <w:rPr>
                <w:rStyle w:val="endsenrhsennumparatext"/>
                <w:rFonts w:ascii="Arial" w:hAnsi="Arial" w:cs="Arial"/>
                <w:lang w:val="en"/>
              </w:rPr>
              <w:t>Planned underspends brought forward from 2016/17</w:t>
            </w:r>
          </w:p>
        </w:tc>
        <w:tc>
          <w:tcPr>
            <w:tcW w:w="1560" w:type="dxa"/>
            <w:tcBorders>
              <w:top w:val="dotted" w:sz="4" w:space="0" w:color="auto"/>
              <w:left w:val="dotted" w:sz="4" w:space="0" w:color="auto"/>
              <w:bottom w:val="dotted" w:sz="4" w:space="0" w:color="auto"/>
              <w:right w:val="dotted" w:sz="4" w:space="0" w:color="auto"/>
            </w:tcBorders>
            <w:noWrap/>
            <w:hideMark/>
          </w:tcPr>
          <w:p w:rsidR="00223A6F" w:rsidRPr="006C46BE" w:rsidRDefault="00223A6F">
            <w:pPr>
              <w:jc w:val="right"/>
              <w:rPr>
                <w:rFonts w:cs="Arial"/>
                <w:sz w:val="22"/>
                <w:szCs w:val="22"/>
                <w:lang w:eastAsia="en-GB"/>
              </w:rPr>
            </w:pPr>
            <w:r w:rsidRPr="006C46BE">
              <w:rPr>
                <w:rFonts w:cs="Arial"/>
                <w:sz w:val="22"/>
                <w:szCs w:val="22"/>
                <w:lang w:eastAsia="en-GB"/>
              </w:rPr>
              <w:t>23</w:t>
            </w:r>
          </w:p>
        </w:tc>
      </w:tr>
      <w:tr w:rsidR="00223A6F" w:rsidRPr="006C46BE" w:rsidTr="00223A6F">
        <w:trPr>
          <w:trHeight w:val="255"/>
        </w:trPr>
        <w:tc>
          <w:tcPr>
            <w:tcW w:w="6651"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pStyle w:val="ListParagraph"/>
              <w:numPr>
                <w:ilvl w:val="0"/>
                <w:numId w:val="28"/>
              </w:numPr>
              <w:tabs>
                <w:tab w:val="left" w:pos="522"/>
              </w:tabs>
              <w:spacing w:after="0" w:line="240" w:lineRule="auto"/>
              <w:ind w:left="590" w:hanging="425"/>
              <w:rPr>
                <w:rStyle w:val="endsenrhsennumparatext"/>
                <w:rFonts w:ascii="Arial" w:hAnsi="Arial" w:cs="Arial"/>
                <w:lang w:val="en"/>
              </w:rPr>
            </w:pPr>
            <w:r w:rsidRPr="006C46BE">
              <w:rPr>
                <w:rFonts w:ascii="Arial" w:hAnsi="Arial" w:cs="Arial"/>
              </w:rPr>
              <w:t>Additional Housing Options staff -20%  (</w:t>
            </w:r>
            <w:proofErr w:type="spellStart"/>
            <w:r w:rsidRPr="006C46BE">
              <w:rPr>
                <w:rFonts w:ascii="Arial" w:hAnsi="Arial" w:cs="Arial"/>
              </w:rPr>
              <w:t>Hsg</w:t>
            </w:r>
            <w:proofErr w:type="spellEnd"/>
            <w:r w:rsidRPr="006C46BE">
              <w:rPr>
                <w:rFonts w:ascii="Arial" w:hAnsi="Arial" w:cs="Arial"/>
              </w:rPr>
              <w:t xml:space="preserve"> </w:t>
            </w:r>
            <w:proofErr w:type="spellStart"/>
            <w:r w:rsidRPr="006C46BE">
              <w:rPr>
                <w:rFonts w:ascii="Arial" w:hAnsi="Arial" w:cs="Arial"/>
              </w:rPr>
              <w:t>Ctte</w:t>
            </w:r>
            <w:proofErr w:type="spellEnd"/>
            <w:r w:rsidRPr="006C46BE">
              <w:rPr>
                <w:rFonts w:ascii="Arial" w:hAnsi="Arial" w:cs="Arial"/>
              </w:rPr>
              <w:t xml:space="preserve"> 3/17)</w:t>
            </w:r>
          </w:p>
        </w:tc>
        <w:tc>
          <w:tcPr>
            <w:tcW w:w="1560" w:type="dxa"/>
            <w:tcBorders>
              <w:top w:val="dotted" w:sz="4" w:space="0" w:color="auto"/>
              <w:left w:val="dotted" w:sz="4" w:space="0" w:color="auto"/>
              <w:bottom w:val="dotted" w:sz="4" w:space="0" w:color="auto"/>
              <w:right w:val="dotted" w:sz="4" w:space="0" w:color="auto"/>
            </w:tcBorders>
            <w:noWrap/>
            <w:hideMark/>
          </w:tcPr>
          <w:p w:rsidR="00223A6F" w:rsidRPr="006C46BE" w:rsidRDefault="00223A6F">
            <w:pPr>
              <w:jc w:val="right"/>
              <w:rPr>
                <w:rFonts w:cs="Arial"/>
                <w:sz w:val="22"/>
                <w:szCs w:val="22"/>
                <w:lang w:eastAsia="en-GB"/>
              </w:rPr>
            </w:pPr>
            <w:r w:rsidRPr="006C46BE">
              <w:rPr>
                <w:rFonts w:cs="Arial"/>
                <w:sz w:val="22"/>
                <w:szCs w:val="22"/>
                <w:lang w:eastAsia="en-GB"/>
              </w:rPr>
              <w:t>10</w:t>
            </w:r>
          </w:p>
        </w:tc>
      </w:tr>
      <w:tr w:rsidR="00223A6F" w:rsidRPr="006C46BE" w:rsidTr="00223A6F">
        <w:trPr>
          <w:trHeight w:val="255"/>
        </w:trPr>
        <w:tc>
          <w:tcPr>
            <w:tcW w:w="6651"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rsidP="00223A6F">
            <w:pPr>
              <w:pStyle w:val="ListParagraph"/>
              <w:numPr>
                <w:ilvl w:val="0"/>
                <w:numId w:val="28"/>
              </w:numPr>
              <w:tabs>
                <w:tab w:val="left" w:pos="522"/>
              </w:tabs>
              <w:spacing w:after="0" w:line="240" w:lineRule="auto"/>
              <w:ind w:left="590" w:hanging="425"/>
              <w:rPr>
                <w:rFonts w:ascii="Arial" w:hAnsi="Arial" w:cs="Arial"/>
              </w:rPr>
            </w:pPr>
            <w:r w:rsidRPr="006C46BE">
              <w:rPr>
                <w:rFonts w:ascii="Arial" w:hAnsi="Arial" w:cs="Arial"/>
              </w:rPr>
              <w:t>New Estate caretakers van, annual Capital charge (</w:t>
            </w:r>
            <w:proofErr w:type="spellStart"/>
            <w:r w:rsidRPr="006C46BE">
              <w:rPr>
                <w:rFonts w:ascii="Arial" w:hAnsi="Arial" w:cs="Arial"/>
              </w:rPr>
              <w:t>Hsg</w:t>
            </w:r>
            <w:proofErr w:type="spellEnd"/>
            <w:r w:rsidRPr="006C46BE">
              <w:rPr>
                <w:rFonts w:ascii="Arial" w:hAnsi="Arial" w:cs="Arial"/>
              </w:rPr>
              <w:t xml:space="preserve"> </w:t>
            </w:r>
            <w:proofErr w:type="spellStart"/>
            <w:r w:rsidRPr="006C46BE">
              <w:rPr>
                <w:rFonts w:ascii="Arial" w:hAnsi="Arial" w:cs="Arial"/>
              </w:rPr>
              <w:t>Ctte</w:t>
            </w:r>
            <w:proofErr w:type="spellEnd"/>
            <w:r w:rsidRPr="006C46BE">
              <w:rPr>
                <w:rFonts w:ascii="Arial" w:hAnsi="Arial" w:cs="Arial"/>
              </w:rPr>
              <w:t xml:space="preserve"> 3/17)</w:t>
            </w:r>
          </w:p>
        </w:tc>
        <w:tc>
          <w:tcPr>
            <w:tcW w:w="1560" w:type="dxa"/>
            <w:tcBorders>
              <w:top w:val="dotted" w:sz="4" w:space="0" w:color="auto"/>
              <w:left w:val="dotted" w:sz="4" w:space="0" w:color="auto"/>
              <w:bottom w:val="dotted" w:sz="4" w:space="0" w:color="auto"/>
              <w:right w:val="dotted" w:sz="4" w:space="0" w:color="auto"/>
            </w:tcBorders>
            <w:noWrap/>
            <w:hideMark/>
          </w:tcPr>
          <w:p w:rsidR="00223A6F" w:rsidRPr="006C46BE" w:rsidRDefault="00223A6F">
            <w:pPr>
              <w:jc w:val="right"/>
              <w:rPr>
                <w:rFonts w:cs="Arial"/>
                <w:sz w:val="22"/>
                <w:szCs w:val="22"/>
                <w:lang w:eastAsia="en-GB"/>
              </w:rPr>
            </w:pPr>
            <w:r w:rsidRPr="006C46BE">
              <w:rPr>
                <w:rFonts w:cs="Arial"/>
                <w:sz w:val="22"/>
                <w:szCs w:val="22"/>
                <w:lang w:eastAsia="en-GB"/>
              </w:rPr>
              <w:t>1</w:t>
            </w:r>
          </w:p>
        </w:tc>
      </w:tr>
      <w:tr w:rsidR="00223A6F" w:rsidRPr="006C46BE" w:rsidTr="00223A6F">
        <w:trPr>
          <w:trHeight w:val="255"/>
        </w:trPr>
        <w:tc>
          <w:tcPr>
            <w:tcW w:w="6651"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pStyle w:val="ListParagraph"/>
              <w:tabs>
                <w:tab w:val="left" w:pos="522"/>
              </w:tabs>
              <w:ind w:left="590"/>
              <w:rPr>
                <w:rStyle w:val="endsenrhsennumparatext"/>
                <w:rFonts w:ascii="Arial" w:hAnsi="Arial" w:cs="Arial"/>
                <w:lang w:val="en"/>
              </w:rPr>
            </w:pPr>
          </w:p>
        </w:tc>
        <w:tc>
          <w:tcPr>
            <w:tcW w:w="1560" w:type="dxa"/>
            <w:tcBorders>
              <w:top w:val="dotted" w:sz="4" w:space="0" w:color="auto"/>
              <w:left w:val="dotted" w:sz="4" w:space="0" w:color="auto"/>
              <w:bottom w:val="dotted" w:sz="4" w:space="0" w:color="auto"/>
              <w:right w:val="dotted" w:sz="4" w:space="0" w:color="auto"/>
            </w:tcBorders>
            <w:noWrap/>
          </w:tcPr>
          <w:p w:rsidR="00223A6F" w:rsidRPr="006C46BE" w:rsidRDefault="00223A6F">
            <w:pPr>
              <w:jc w:val="right"/>
              <w:rPr>
                <w:rFonts w:cs="Arial"/>
                <w:b/>
                <w:sz w:val="22"/>
                <w:szCs w:val="22"/>
                <w:lang w:eastAsia="en-GB"/>
              </w:rPr>
            </w:pPr>
          </w:p>
        </w:tc>
      </w:tr>
      <w:tr w:rsidR="00223A6F" w:rsidRPr="006C46BE" w:rsidTr="00223A6F">
        <w:trPr>
          <w:trHeight w:val="255"/>
        </w:trPr>
        <w:tc>
          <w:tcPr>
            <w:tcW w:w="6651"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pStyle w:val="ListParagraph"/>
              <w:ind w:left="165"/>
              <w:rPr>
                <w:rStyle w:val="endsenrhsennumparatext"/>
                <w:rFonts w:ascii="Arial" w:hAnsi="Arial" w:cs="Arial"/>
                <w:b/>
                <w:lang w:val="en"/>
              </w:rPr>
            </w:pPr>
            <w:r w:rsidRPr="006C46BE">
              <w:rPr>
                <w:rStyle w:val="endsenrhsennumparatext"/>
                <w:rFonts w:ascii="Arial" w:hAnsi="Arial" w:cs="Arial"/>
                <w:b/>
                <w:lang w:val="en"/>
              </w:rPr>
              <w:t>Projected (surplus) / Deficit in the year:</w:t>
            </w:r>
          </w:p>
        </w:tc>
        <w:tc>
          <w:tcPr>
            <w:tcW w:w="1560" w:type="dxa"/>
            <w:tcBorders>
              <w:top w:val="dotted" w:sz="4" w:space="0" w:color="auto"/>
              <w:left w:val="dotted" w:sz="4" w:space="0" w:color="auto"/>
              <w:bottom w:val="dotted" w:sz="4" w:space="0" w:color="auto"/>
              <w:right w:val="dotted" w:sz="4" w:space="0" w:color="auto"/>
            </w:tcBorders>
            <w:noWrap/>
            <w:hideMark/>
          </w:tcPr>
          <w:p w:rsidR="00223A6F" w:rsidRPr="006C46BE" w:rsidRDefault="00223A6F">
            <w:pPr>
              <w:jc w:val="right"/>
              <w:rPr>
                <w:rFonts w:cs="Arial"/>
                <w:b/>
                <w:sz w:val="22"/>
                <w:szCs w:val="22"/>
                <w:lang w:eastAsia="en-GB"/>
              </w:rPr>
            </w:pPr>
            <w:r w:rsidRPr="006C46BE">
              <w:rPr>
                <w:rFonts w:cs="Arial"/>
                <w:b/>
                <w:sz w:val="22"/>
                <w:szCs w:val="22"/>
                <w:lang w:eastAsia="en-GB"/>
              </w:rPr>
              <w:t>(4,324)</w:t>
            </w:r>
          </w:p>
        </w:tc>
      </w:tr>
    </w:tbl>
    <w:p w:rsidR="00223A6F" w:rsidRPr="006C46BE" w:rsidRDefault="00223A6F" w:rsidP="00223A6F">
      <w:pPr>
        <w:ind w:left="720" w:hanging="720"/>
        <w:rPr>
          <w:rFonts w:cs="Arial"/>
          <w:sz w:val="22"/>
          <w:szCs w:val="22"/>
          <w:highlight w:val="yellow"/>
        </w:rPr>
      </w:pPr>
    </w:p>
    <w:p w:rsidR="00223A6F" w:rsidRPr="006C46BE" w:rsidRDefault="00223A6F" w:rsidP="00223A6F">
      <w:pPr>
        <w:ind w:left="709" w:hanging="709"/>
        <w:rPr>
          <w:rFonts w:cs="Arial"/>
          <w:sz w:val="22"/>
          <w:szCs w:val="22"/>
        </w:rPr>
      </w:pPr>
      <w:r w:rsidRPr="006C46BE">
        <w:rPr>
          <w:rFonts w:cs="Arial"/>
          <w:sz w:val="22"/>
          <w:szCs w:val="22"/>
        </w:rPr>
        <w:lastRenderedPageBreak/>
        <w:t>3.2</w:t>
      </w:r>
      <w:r w:rsidRPr="006C46BE">
        <w:rPr>
          <w:rFonts w:cs="Arial"/>
          <w:sz w:val="22"/>
          <w:szCs w:val="22"/>
        </w:rPr>
        <w:tab/>
        <w:t>Taking into account the better than expected increase in working balances during 2016/17 of £1.155m, and large reductions in the Housing Capital programme (slippage and developing plans) during 2017/18 it is estimated assuming the predictions for the pr</w:t>
      </w:r>
      <w:r w:rsidR="009F1077">
        <w:rPr>
          <w:rFonts w:cs="Arial"/>
          <w:sz w:val="22"/>
          <w:szCs w:val="22"/>
        </w:rPr>
        <w:t>ojected outturn shown in table 8 materialise at the year end, t</w:t>
      </w:r>
      <w:r w:rsidRPr="006C46BE">
        <w:rPr>
          <w:rFonts w:cs="Arial"/>
          <w:sz w:val="22"/>
          <w:szCs w:val="22"/>
        </w:rPr>
        <w:t xml:space="preserve">his will result in a probable increase in the HRA revenue balances from the original estimate of £15.77m at 31 March 2018 to £20.70m. </w:t>
      </w:r>
      <w:r w:rsidR="009F1077">
        <w:rPr>
          <w:rFonts w:cs="Arial"/>
          <w:sz w:val="22"/>
          <w:szCs w:val="22"/>
        </w:rPr>
        <w:t xml:space="preserve"> </w:t>
      </w:r>
      <w:r w:rsidRPr="006C46BE">
        <w:rPr>
          <w:rFonts w:cs="Arial"/>
          <w:sz w:val="22"/>
          <w:szCs w:val="22"/>
        </w:rPr>
        <w:t xml:space="preserve">However it should be noted that the likely costs in 2018/19 will increase by around £2.0m as a consequence of the deferral of the provision of new houses. </w:t>
      </w:r>
    </w:p>
    <w:p w:rsidR="00223A6F" w:rsidRPr="006C46BE" w:rsidRDefault="00223A6F" w:rsidP="00223A6F">
      <w:pPr>
        <w:ind w:left="720" w:hanging="720"/>
        <w:rPr>
          <w:rFonts w:cs="Arial"/>
          <w:sz w:val="22"/>
          <w:szCs w:val="22"/>
        </w:rPr>
      </w:pPr>
    </w:p>
    <w:p w:rsidR="00223A6F" w:rsidRPr="006C46BE" w:rsidRDefault="00223A6F" w:rsidP="00223A6F">
      <w:pPr>
        <w:ind w:left="720" w:hanging="720"/>
        <w:rPr>
          <w:rFonts w:cs="Arial"/>
          <w:b/>
          <w:sz w:val="22"/>
          <w:szCs w:val="22"/>
          <w:u w:val="single"/>
        </w:rPr>
      </w:pPr>
      <w:r w:rsidRPr="006C46BE">
        <w:rPr>
          <w:rFonts w:cs="Arial"/>
          <w:b/>
          <w:sz w:val="22"/>
          <w:szCs w:val="22"/>
        </w:rPr>
        <w:t>4</w:t>
      </w:r>
      <w:r w:rsidR="009F1077">
        <w:rPr>
          <w:rFonts w:cs="Arial"/>
          <w:b/>
          <w:sz w:val="22"/>
          <w:szCs w:val="22"/>
        </w:rPr>
        <w:t>.</w:t>
      </w:r>
      <w:r w:rsidRPr="006C46BE">
        <w:rPr>
          <w:rFonts w:cs="Arial"/>
          <w:b/>
          <w:sz w:val="22"/>
          <w:szCs w:val="22"/>
        </w:rPr>
        <w:tab/>
      </w:r>
      <w:r w:rsidRPr="009F1077">
        <w:rPr>
          <w:rFonts w:cs="Arial"/>
          <w:b/>
          <w:sz w:val="22"/>
          <w:szCs w:val="22"/>
        </w:rPr>
        <w:t>Capital Expenditure and Receipts</w:t>
      </w:r>
    </w:p>
    <w:p w:rsidR="00223A6F" w:rsidRPr="006C46BE" w:rsidRDefault="00223A6F" w:rsidP="00223A6F">
      <w:pPr>
        <w:ind w:left="720" w:hanging="720"/>
        <w:rPr>
          <w:rFonts w:cs="Arial"/>
          <w:sz w:val="22"/>
          <w:szCs w:val="22"/>
        </w:rPr>
      </w:pPr>
    </w:p>
    <w:p w:rsidR="00223A6F" w:rsidRPr="006C46BE" w:rsidRDefault="00223A6F" w:rsidP="00223A6F">
      <w:pPr>
        <w:ind w:left="720" w:hanging="720"/>
        <w:rPr>
          <w:rFonts w:cs="Arial"/>
          <w:sz w:val="22"/>
          <w:szCs w:val="22"/>
          <w:u w:val="single"/>
        </w:rPr>
      </w:pPr>
      <w:r w:rsidRPr="006C46BE">
        <w:rPr>
          <w:rFonts w:cs="Arial"/>
          <w:sz w:val="22"/>
          <w:szCs w:val="22"/>
        </w:rPr>
        <w:tab/>
      </w:r>
      <w:r w:rsidRPr="006C46BE">
        <w:rPr>
          <w:rFonts w:cs="Arial"/>
          <w:sz w:val="22"/>
          <w:szCs w:val="22"/>
          <w:u w:val="single"/>
        </w:rPr>
        <w:t>Capital expenditure</w:t>
      </w:r>
    </w:p>
    <w:p w:rsidR="00223A6F" w:rsidRPr="006C46BE" w:rsidRDefault="00223A6F" w:rsidP="00223A6F">
      <w:pPr>
        <w:ind w:left="720" w:hanging="720"/>
        <w:rPr>
          <w:rFonts w:cs="Arial"/>
          <w:sz w:val="22"/>
          <w:szCs w:val="22"/>
        </w:rPr>
      </w:pPr>
    </w:p>
    <w:p w:rsidR="00223A6F" w:rsidRPr="006C46BE" w:rsidRDefault="00223A6F" w:rsidP="00223A6F">
      <w:pPr>
        <w:ind w:left="720" w:hanging="720"/>
        <w:rPr>
          <w:rFonts w:cs="Arial"/>
          <w:sz w:val="22"/>
          <w:szCs w:val="22"/>
        </w:rPr>
      </w:pPr>
      <w:r w:rsidRPr="006C46BE">
        <w:rPr>
          <w:rFonts w:cs="Arial"/>
          <w:sz w:val="22"/>
          <w:szCs w:val="22"/>
        </w:rPr>
        <w:t>4.1</w:t>
      </w:r>
      <w:r w:rsidRPr="006C46BE">
        <w:rPr>
          <w:rFonts w:cs="Arial"/>
          <w:sz w:val="22"/>
          <w:szCs w:val="22"/>
        </w:rPr>
        <w:tab/>
        <w:t xml:space="preserve">The detailed Capital budget for 2017/18 was approved in February 2017.  It is important to remember that the timing of capital expenditure can sometimes be difficult to predict and can be spread over several financial years.  </w:t>
      </w:r>
    </w:p>
    <w:p w:rsidR="00223A6F" w:rsidRPr="006C46BE" w:rsidRDefault="00223A6F" w:rsidP="00223A6F">
      <w:pPr>
        <w:ind w:left="720" w:hanging="720"/>
        <w:rPr>
          <w:rFonts w:cs="Arial"/>
          <w:sz w:val="22"/>
          <w:szCs w:val="22"/>
        </w:rPr>
      </w:pPr>
    </w:p>
    <w:p w:rsidR="00223A6F" w:rsidRPr="006C46BE" w:rsidRDefault="00223A6F" w:rsidP="00223A6F">
      <w:pPr>
        <w:ind w:left="720" w:hanging="720"/>
        <w:rPr>
          <w:rFonts w:cs="Arial"/>
          <w:sz w:val="22"/>
          <w:szCs w:val="22"/>
        </w:rPr>
      </w:pPr>
      <w:r w:rsidRPr="006C46BE">
        <w:rPr>
          <w:rFonts w:cs="Arial"/>
          <w:sz w:val="22"/>
          <w:szCs w:val="22"/>
        </w:rPr>
        <w:t>4.2</w:t>
      </w:r>
      <w:r w:rsidRPr="006C46BE">
        <w:rPr>
          <w:rFonts w:cs="Arial"/>
          <w:sz w:val="22"/>
          <w:szCs w:val="22"/>
        </w:rPr>
        <w:tab/>
      </w:r>
      <w:r w:rsidR="009F1077">
        <w:rPr>
          <w:rFonts w:cs="Arial"/>
          <w:sz w:val="22"/>
          <w:szCs w:val="22"/>
        </w:rPr>
        <w:t>Exempt Appendix ‘1’</w:t>
      </w:r>
      <w:r w:rsidRPr="006C46BE">
        <w:rPr>
          <w:rFonts w:cs="Arial"/>
          <w:sz w:val="22"/>
          <w:szCs w:val="22"/>
        </w:rPr>
        <w:t xml:space="preserve"> </w:t>
      </w:r>
      <w:r w:rsidR="003E380C">
        <w:rPr>
          <w:rFonts w:cs="Arial"/>
          <w:sz w:val="22"/>
          <w:szCs w:val="22"/>
        </w:rPr>
        <w:t xml:space="preserve">(exempt under paragraph 3 of Schedule 12A to Part I of the Local Government Act 1972) </w:t>
      </w:r>
      <w:r w:rsidRPr="006C46BE">
        <w:rPr>
          <w:rFonts w:cs="Arial"/>
          <w:sz w:val="22"/>
          <w:szCs w:val="22"/>
        </w:rPr>
        <w:t>summarises the current capital programme to the end of June 2017 updated for predicted movements in payment profiles and forecast under/overspends on the schemes as a whole.  Of the £11.5m increase in the</w:t>
      </w:r>
      <w:r w:rsidR="009F1077">
        <w:rPr>
          <w:rFonts w:cs="Arial"/>
          <w:sz w:val="22"/>
          <w:szCs w:val="22"/>
        </w:rPr>
        <w:t xml:space="preserve"> programme shown in Exempt Appendix ‘1’</w:t>
      </w:r>
      <w:r w:rsidRPr="006C46BE">
        <w:rPr>
          <w:rFonts w:cs="Arial"/>
          <w:sz w:val="22"/>
          <w:szCs w:val="22"/>
        </w:rPr>
        <w:t xml:space="preserve">, £9m relates to budgets that have been carried forward from 2017/18 where schemes and or payments were delayed. </w:t>
      </w:r>
    </w:p>
    <w:p w:rsidR="00223A6F" w:rsidRPr="006C46BE" w:rsidRDefault="00223A6F" w:rsidP="00223A6F">
      <w:pPr>
        <w:ind w:left="720" w:hanging="720"/>
        <w:rPr>
          <w:rFonts w:cs="Arial"/>
          <w:sz w:val="22"/>
          <w:szCs w:val="22"/>
          <w:highlight w:val="yellow"/>
        </w:rPr>
      </w:pPr>
    </w:p>
    <w:p w:rsidR="00223A6F" w:rsidRPr="006C46BE" w:rsidRDefault="00223A6F" w:rsidP="00223A6F">
      <w:pPr>
        <w:ind w:left="720" w:hanging="720"/>
        <w:rPr>
          <w:rFonts w:cs="Arial"/>
          <w:sz w:val="22"/>
          <w:szCs w:val="22"/>
          <w:u w:val="single"/>
        </w:rPr>
      </w:pPr>
      <w:r w:rsidRPr="006C46BE">
        <w:rPr>
          <w:rFonts w:cs="Arial"/>
          <w:sz w:val="22"/>
          <w:szCs w:val="22"/>
        </w:rPr>
        <w:tab/>
      </w:r>
      <w:r w:rsidRPr="006C46BE">
        <w:rPr>
          <w:rFonts w:cs="Arial"/>
          <w:sz w:val="22"/>
          <w:szCs w:val="22"/>
          <w:u w:val="single"/>
        </w:rPr>
        <w:t>Capital receipts</w:t>
      </w:r>
    </w:p>
    <w:p w:rsidR="00223A6F" w:rsidRPr="006C46BE" w:rsidRDefault="00223A6F" w:rsidP="00223A6F">
      <w:pPr>
        <w:ind w:left="720" w:hanging="720"/>
        <w:rPr>
          <w:rFonts w:cs="Arial"/>
          <w:sz w:val="22"/>
          <w:szCs w:val="22"/>
          <w:highlight w:val="yellow"/>
        </w:rPr>
      </w:pPr>
    </w:p>
    <w:p w:rsidR="00223A6F" w:rsidRPr="006C46BE" w:rsidRDefault="00223A6F" w:rsidP="00223A6F">
      <w:pPr>
        <w:ind w:left="709" w:hanging="709"/>
        <w:jc w:val="both"/>
        <w:rPr>
          <w:rFonts w:cs="Arial"/>
          <w:sz w:val="22"/>
          <w:szCs w:val="22"/>
        </w:rPr>
      </w:pPr>
      <w:r w:rsidRPr="006C46BE">
        <w:rPr>
          <w:rFonts w:cs="Arial"/>
          <w:sz w:val="22"/>
          <w:szCs w:val="22"/>
        </w:rPr>
        <w:t>4.3</w:t>
      </w:r>
      <w:r w:rsidRPr="006C46BE">
        <w:rPr>
          <w:rFonts w:cs="Arial"/>
          <w:sz w:val="22"/>
          <w:szCs w:val="22"/>
        </w:rPr>
        <w:tab/>
        <w:t>The Council started the year with £14.281m in available capital receipts which can be used to fund future acquisition of assets. However, some of these receipts have been generated from the sale of dwellings under right-to-buy legislation or sales of land and legislation requires this is set aside for specific purposes.  In Runnymede’s case this is principally:</w:t>
      </w:r>
    </w:p>
    <w:p w:rsidR="00223A6F" w:rsidRPr="006C46BE" w:rsidRDefault="00223A6F" w:rsidP="00223A6F">
      <w:pPr>
        <w:ind w:left="709" w:hanging="709"/>
        <w:jc w:val="both"/>
        <w:rPr>
          <w:rFonts w:cs="Arial"/>
          <w:sz w:val="22"/>
          <w:szCs w:val="22"/>
        </w:rPr>
      </w:pPr>
    </w:p>
    <w:p w:rsidR="00223A6F" w:rsidRPr="006C46BE" w:rsidRDefault="00223A6F" w:rsidP="00223A6F">
      <w:pPr>
        <w:ind w:left="1418" w:hanging="283"/>
        <w:jc w:val="both"/>
        <w:rPr>
          <w:rFonts w:cs="Arial"/>
          <w:sz w:val="22"/>
          <w:szCs w:val="22"/>
        </w:rPr>
      </w:pPr>
      <w:r w:rsidRPr="006C46BE">
        <w:rPr>
          <w:rFonts w:cs="Arial"/>
          <w:sz w:val="22"/>
          <w:szCs w:val="22"/>
        </w:rPr>
        <w:t>•</w:t>
      </w:r>
      <w:r w:rsidRPr="006C46BE">
        <w:rPr>
          <w:rFonts w:cs="Arial"/>
          <w:sz w:val="22"/>
          <w:szCs w:val="22"/>
        </w:rPr>
        <w:tab/>
        <w:t>Future funding of new affordable housing</w:t>
      </w:r>
    </w:p>
    <w:p w:rsidR="00223A6F" w:rsidRPr="006C46BE" w:rsidRDefault="00223A6F" w:rsidP="00223A6F">
      <w:pPr>
        <w:ind w:left="1418" w:hanging="283"/>
        <w:jc w:val="both"/>
        <w:rPr>
          <w:rFonts w:cs="Arial"/>
          <w:sz w:val="22"/>
          <w:szCs w:val="22"/>
        </w:rPr>
      </w:pPr>
      <w:r w:rsidRPr="006C46BE">
        <w:rPr>
          <w:rFonts w:cs="Arial"/>
          <w:sz w:val="22"/>
          <w:szCs w:val="22"/>
        </w:rPr>
        <w:t>•</w:t>
      </w:r>
      <w:r w:rsidRPr="006C46BE">
        <w:rPr>
          <w:rFonts w:cs="Arial"/>
          <w:sz w:val="22"/>
          <w:szCs w:val="22"/>
        </w:rPr>
        <w:tab/>
        <w:t>Repayment of housing debt over the next 30 years</w:t>
      </w:r>
    </w:p>
    <w:p w:rsidR="00223A6F" w:rsidRPr="006C46BE" w:rsidRDefault="00223A6F" w:rsidP="00223A6F">
      <w:pPr>
        <w:ind w:left="1418" w:hanging="283"/>
        <w:jc w:val="both"/>
        <w:rPr>
          <w:rFonts w:cs="Arial"/>
          <w:sz w:val="22"/>
          <w:szCs w:val="22"/>
        </w:rPr>
      </w:pPr>
    </w:p>
    <w:p w:rsidR="00223A6F" w:rsidRPr="006C46BE" w:rsidRDefault="00223A6F" w:rsidP="00223A6F">
      <w:pPr>
        <w:ind w:left="720" w:hanging="720"/>
        <w:rPr>
          <w:rFonts w:cs="Arial"/>
          <w:sz w:val="22"/>
          <w:szCs w:val="22"/>
        </w:rPr>
      </w:pPr>
      <w:r w:rsidRPr="006C46BE">
        <w:rPr>
          <w:rFonts w:cs="Arial"/>
          <w:sz w:val="22"/>
          <w:szCs w:val="22"/>
        </w:rPr>
        <w:t>4.4</w:t>
      </w:r>
      <w:r w:rsidRPr="006C46BE">
        <w:rPr>
          <w:rFonts w:cs="Arial"/>
          <w:sz w:val="22"/>
          <w:szCs w:val="22"/>
        </w:rPr>
        <w:tab/>
        <w:t xml:space="preserve">Table </w:t>
      </w:r>
      <w:r w:rsidR="009F1077">
        <w:rPr>
          <w:rFonts w:cs="Arial"/>
          <w:sz w:val="22"/>
          <w:szCs w:val="22"/>
        </w:rPr>
        <w:t>9</w:t>
      </w:r>
      <w:r w:rsidRPr="006C46BE">
        <w:rPr>
          <w:rFonts w:cs="Arial"/>
          <w:sz w:val="22"/>
          <w:szCs w:val="22"/>
        </w:rPr>
        <w:t xml:space="preserve"> sets out the anticipated capital receipts position as at the 31 March 2018 based on the current forecast outturn in capital spend and receipts as set out in </w:t>
      </w:r>
      <w:r w:rsidR="009F1077">
        <w:rPr>
          <w:rFonts w:cs="Arial"/>
          <w:sz w:val="22"/>
          <w:szCs w:val="22"/>
        </w:rPr>
        <w:t>Exempt Appendix ‘1’</w:t>
      </w:r>
      <w:r w:rsidRPr="006C46BE">
        <w:rPr>
          <w:rFonts w:cs="Arial"/>
          <w:sz w:val="22"/>
          <w:szCs w:val="22"/>
        </w:rPr>
        <w:t>:</w:t>
      </w:r>
    </w:p>
    <w:p w:rsidR="00223A6F" w:rsidRPr="006C46BE" w:rsidRDefault="00223A6F" w:rsidP="00223A6F">
      <w:pPr>
        <w:ind w:left="720" w:hanging="720"/>
        <w:rPr>
          <w:rFonts w:cs="Arial"/>
          <w:sz w:val="22"/>
          <w:szCs w:val="22"/>
          <w:highlight w:val="yellow"/>
        </w:rPr>
      </w:pPr>
    </w:p>
    <w:tbl>
      <w:tblPr>
        <w:tblW w:w="9030"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75"/>
        <w:gridCol w:w="1417"/>
        <w:gridCol w:w="1559"/>
        <w:gridCol w:w="1134"/>
        <w:gridCol w:w="1245"/>
      </w:tblGrid>
      <w:tr w:rsidR="00223A6F" w:rsidRPr="006C46BE" w:rsidTr="009672DE">
        <w:trPr>
          <w:trHeight w:val="255"/>
        </w:trPr>
        <w:tc>
          <w:tcPr>
            <w:tcW w:w="9030" w:type="dxa"/>
            <w:gridSpan w:val="5"/>
            <w:tcBorders>
              <w:top w:val="dotted" w:sz="4" w:space="0" w:color="auto"/>
              <w:left w:val="dotted" w:sz="4" w:space="0" w:color="auto"/>
              <w:bottom w:val="dotted" w:sz="4" w:space="0" w:color="auto"/>
              <w:right w:val="dotted" w:sz="4" w:space="0" w:color="auto"/>
            </w:tcBorders>
            <w:shd w:val="clear" w:color="auto" w:fill="BFBFBF" w:themeFill="background1" w:themeFillShade="BF"/>
            <w:noWrap/>
            <w:vAlign w:val="bottom"/>
            <w:hideMark/>
          </w:tcPr>
          <w:p w:rsidR="00223A6F" w:rsidRPr="006C46BE" w:rsidRDefault="00223A6F">
            <w:pPr>
              <w:jc w:val="center"/>
              <w:rPr>
                <w:rFonts w:cs="Arial"/>
                <w:b/>
                <w:sz w:val="22"/>
                <w:szCs w:val="22"/>
                <w:highlight w:val="yellow"/>
                <w:lang w:eastAsia="en-GB"/>
              </w:rPr>
            </w:pPr>
            <w:r w:rsidRPr="006C46BE">
              <w:rPr>
                <w:rFonts w:cs="Arial"/>
                <w:b/>
                <w:sz w:val="22"/>
                <w:szCs w:val="22"/>
                <w:lang w:eastAsia="en-GB"/>
              </w:rPr>
              <w:t>Table 9 – Capital receipts</w:t>
            </w:r>
          </w:p>
        </w:tc>
      </w:tr>
      <w:tr w:rsidR="00223A6F" w:rsidRPr="006C46BE" w:rsidTr="009672DE">
        <w:trPr>
          <w:trHeight w:val="255"/>
        </w:trPr>
        <w:tc>
          <w:tcPr>
            <w:tcW w:w="3675"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tabs>
                <w:tab w:val="left" w:pos="522"/>
              </w:tabs>
              <w:ind w:left="162"/>
              <w:rPr>
                <w:rStyle w:val="endsenrhsennumparatext"/>
                <w:rFonts w:cs="Arial"/>
                <w:b/>
                <w:sz w:val="22"/>
                <w:szCs w:val="22"/>
                <w:lang w:val="en"/>
              </w:rPr>
            </w:pPr>
          </w:p>
        </w:tc>
        <w:tc>
          <w:tcPr>
            <w:tcW w:w="1417" w:type="dxa"/>
            <w:tcBorders>
              <w:top w:val="dotted" w:sz="4" w:space="0" w:color="auto"/>
              <w:left w:val="dotted" w:sz="4" w:space="0" w:color="auto"/>
              <w:bottom w:val="dotted" w:sz="4" w:space="0" w:color="auto"/>
              <w:right w:val="dotted" w:sz="4" w:space="0" w:color="auto"/>
            </w:tcBorders>
            <w:noWrap/>
            <w:hideMark/>
          </w:tcPr>
          <w:p w:rsidR="00223A6F" w:rsidRPr="009672DE" w:rsidRDefault="009672DE">
            <w:pPr>
              <w:jc w:val="center"/>
              <w:rPr>
                <w:rFonts w:cs="Arial"/>
                <w:b/>
                <w:lang w:eastAsia="en-GB"/>
              </w:rPr>
            </w:pPr>
            <w:r>
              <w:rPr>
                <w:rFonts w:cs="Arial"/>
                <w:b/>
                <w:lang w:eastAsia="en-GB"/>
              </w:rPr>
              <w:t xml:space="preserve">Debt </w:t>
            </w:r>
            <w:r w:rsidR="00223A6F" w:rsidRPr="009672DE">
              <w:rPr>
                <w:rFonts w:cs="Arial"/>
                <w:b/>
                <w:lang w:eastAsia="en-GB"/>
              </w:rPr>
              <w:t>Repayment</w:t>
            </w:r>
          </w:p>
          <w:p w:rsidR="00223A6F" w:rsidRPr="009672DE" w:rsidRDefault="00223A6F">
            <w:pPr>
              <w:jc w:val="center"/>
              <w:rPr>
                <w:rFonts w:cs="Arial"/>
              </w:rPr>
            </w:pPr>
            <w:r w:rsidRPr="009672DE">
              <w:rPr>
                <w:rFonts w:cs="Arial"/>
                <w:b/>
                <w:lang w:eastAsia="en-GB"/>
              </w:rPr>
              <w:t>£’000</w:t>
            </w:r>
          </w:p>
        </w:tc>
        <w:tc>
          <w:tcPr>
            <w:tcW w:w="1559" w:type="dxa"/>
            <w:tcBorders>
              <w:top w:val="dotted" w:sz="4" w:space="0" w:color="auto"/>
              <w:left w:val="dotted" w:sz="4" w:space="0" w:color="auto"/>
              <w:bottom w:val="dotted" w:sz="4" w:space="0" w:color="auto"/>
              <w:right w:val="dotted" w:sz="4" w:space="0" w:color="auto"/>
            </w:tcBorders>
            <w:hideMark/>
          </w:tcPr>
          <w:p w:rsidR="00223A6F" w:rsidRPr="009672DE" w:rsidRDefault="009672DE">
            <w:pPr>
              <w:jc w:val="center"/>
              <w:rPr>
                <w:rFonts w:cs="Arial"/>
                <w:b/>
                <w:lang w:eastAsia="en-GB"/>
              </w:rPr>
            </w:pPr>
            <w:r>
              <w:rPr>
                <w:rFonts w:cs="Arial"/>
                <w:b/>
                <w:lang w:eastAsia="en-GB"/>
              </w:rPr>
              <w:t>Housing R</w:t>
            </w:r>
            <w:r w:rsidR="00223A6F" w:rsidRPr="009672DE">
              <w:rPr>
                <w:rFonts w:cs="Arial"/>
                <w:b/>
                <w:lang w:eastAsia="en-GB"/>
              </w:rPr>
              <w:t>eplacement</w:t>
            </w:r>
          </w:p>
          <w:p w:rsidR="00223A6F" w:rsidRPr="009672DE" w:rsidRDefault="00223A6F">
            <w:pPr>
              <w:jc w:val="center"/>
              <w:rPr>
                <w:rFonts w:cs="Arial"/>
                <w:b/>
                <w:lang w:eastAsia="en-GB"/>
              </w:rPr>
            </w:pPr>
            <w:r w:rsidRPr="009672DE">
              <w:rPr>
                <w:rFonts w:cs="Arial"/>
                <w:b/>
                <w:lang w:eastAsia="en-GB"/>
              </w:rPr>
              <w:t>£’000</w:t>
            </w:r>
          </w:p>
        </w:tc>
        <w:tc>
          <w:tcPr>
            <w:tcW w:w="1134" w:type="dxa"/>
            <w:tcBorders>
              <w:top w:val="dotted" w:sz="4" w:space="0" w:color="auto"/>
              <w:left w:val="dotted" w:sz="4" w:space="0" w:color="auto"/>
              <w:bottom w:val="dotted" w:sz="4" w:space="0" w:color="auto"/>
              <w:right w:val="dotted" w:sz="4" w:space="0" w:color="auto"/>
            </w:tcBorders>
            <w:hideMark/>
          </w:tcPr>
          <w:p w:rsidR="00223A6F" w:rsidRPr="009672DE" w:rsidRDefault="009672DE">
            <w:pPr>
              <w:jc w:val="center"/>
              <w:rPr>
                <w:rFonts w:cs="Arial"/>
                <w:b/>
                <w:lang w:eastAsia="en-GB"/>
              </w:rPr>
            </w:pPr>
            <w:r>
              <w:rPr>
                <w:rFonts w:cs="Arial"/>
                <w:b/>
                <w:lang w:eastAsia="en-GB"/>
              </w:rPr>
              <w:t>General U</w:t>
            </w:r>
            <w:r w:rsidR="00223A6F" w:rsidRPr="009672DE">
              <w:rPr>
                <w:rFonts w:cs="Arial"/>
                <w:b/>
                <w:lang w:eastAsia="en-GB"/>
              </w:rPr>
              <w:t>se</w:t>
            </w:r>
          </w:p>
          <w:p w:rsidR="00223A6F" w:rsidRPr="009672DE" w:rsidRDefault="00223A6F" w:rsidP="009672DE">
            <w:pPr>
              <w:tabs>
                <w:tab w:val="center" w:pos="413"/>
              </w:tabs>
              <w:jc w:val="center"/>
              <w:rPr>
                <w:rFonts w:cs="Arial"/>
                <w:b/>
                <w:lang w:eastAsia="en-GB"/>
              </w:rPr>
            </w:pPr>
            <w:r w:rsidRPr="009672DE">
              <w:rPr>
                <w:rFonts w:cs="Arial"/>
                <w:b/>
                <w:lang w:eastAsia="en-GB"/>
              </w:rPr>
              <w:t>£’000</w:t>
            </w:r>
          </w:p>
        </w:tc>
        <w:tc>
          <w:tcPr>
            <w:tcW w:w="1245" w:type="dxa"/>
            <w:tcBorders>
              <w:top w:val="dotted" w:sz="4" w:space="0" w:color="auto"/>
              <w:left w:val="dotted" w:sz="4" w:space="0" w:color="auto"/>
              <w:bottom w:val="dotted" w:sz="4" w:space="0" w:color="auto"/>
              <w:right w:val="dotted" w:sz="4" w:space="0" w:color="auto"/>
            </w:tcBorders>
            <w:noWrap/>
            <w:hideMark/>
          </w:tcPr>
          <w:p w:rsidR="00223A6F" w:rsidRPr="009672DE" w:rsidRDefault="00223A6F">
            <w:pPr>
              <w:jc w:val="center"/>
              <w:rPr>
                <w:rFonts w:cs="Arial"/>
                <w:b/>
                <w:lang w:eastAsia="en-GB"/>
              </w:rPr>
            </w:pPr>
            <w:r w:rsidRPr="009672DE">
              <w:rPr>
                <w:rFonts w:cs="Arial"/>
                <w:b/>
                <w:lang w:eastAsia="en-GB"/>
              </w:rPr>
              <w:t>Total</w:t>
            </w:r>
          </w:p>
          <w:p w:rsidR="00223A6F" w:rsidRPr="009672DE" w:rsidRDefault="00223A6F">
            <w:pPr>
              <w:jc w:val="center"/>
              <w:rPr>
                <w:rFonts w:cs="Arial"/>
                <w:b/>
                <w:lang w:eastAsia="en-GB"/>
              </w:rPr>
            </w:pPr>
            <w:r w:rsidRPr="009672DE">
              <w:rPr>
                <w:rFonts w:cs="Arial"/>
                <w:b/>
                <w:lang w:eastAsia="en-GB"/>
              </w:rPr>
              <w:t>Receipts</w:t>
            </w:r>
          </w:p>
          <w:p w:rsidR="00223A6F" w:rsidRPr="009672DE" w:rsidRDefault="00223A6F">
            <w:pPr>
              <w:jc w:val="center"/>
              <w:rPr>
                <w:rFonts w:cs="Arial"/>
                <w:b/>
                <w:lang w:eastAsia="en-GB"/>
              </w:rPr>
            </w:pPr>
            <w:r w:rsidRPr="009672DE">
              <w:rPr>
                <w:rFonts w:cs="Arial"/>
                <w:b/>
                <w:lang w:eastAsia="en-GB"/>
              </w:rPr>
              <w:t>£’000</w:t>
            </w:r>
          </w:p>
        </w:tc>
      </w:tr>
      <w:tr w:rsidR="00223A6F" w:rsidRPr="006C46BE" w:rsidTr="009672DE">
        <w:trPr>
          <w:trHeight w:val="255"/>
        </w:trPr>
        <w:tc>
          <w:tcPr>
            <w:tcW w:w="3675" w:type="dxa"/>
            <w:tcBorders>
              <w:top w:val="dotted" w:sz="4" w:space="0" w:color="auto"/>
              <w:left w:val="dotted" w:sz="4" w:space="0" w:color="auto"/>
              <w:bottom w:val="dotted" w:sz="4" w:space="0" w:color="auto"/>
              <w:right w:val="dotted" w:sz="4" w:space="0" w:color="auto"/>
            </w:tcBorders>
            <w:noWrap/>
            <w:vAlign w:val="bottom"/>
            <w:hideMark/>
          </w:tcPr>
          <w:p w:rsidR="009672DE" w:rsidRDefault="00223A6F">
            <w:pPr>
              <w:tabs>
                <w:tab w:val="left" w:pos="522"/>
              </w:tabs>
              <w:ind w:left="162"/>
              <w:rPr>
                <w:rStyle w:val="endsenrhsennumparatext"/>
                <w:rFonts w:cs="Arial"/>
                <w:b/>
                <w:sz w:val="22"/>
                <w:szCs w:val="22"/>
                <w:lang w:val="en"/>
              </w:rPr>
            </w:pPr>
            <w:r w:rsidRPr="006C46BE">
              <w:rPr>
                <w:rStyle w:val="endsenrhsennumparatext"/>
                <w:rFonts w:cs="Arial"/>
                <w:b/>
                <w:sz w:val="22"/>
                <w:szCs w:val="22"/>
                <w:lang w:val="en"/>
              </w:rPr>
              <w:t xml:space="preserve">Total Capital Receipts at </w:t>
            </w:r>
          </w:p>
          <w:p w:rsidR="00223A6F" w:rsidRPr="006C46BE" w:rsidRDefault="00223A6F">
            <w:pPr>
              <w:tabs>
                <w:tab w:val="left" w:pos="522"/>
              </w:tabs>
              <w:ind w:left="162"/>
              <w:rPr>
                <w:rStyle w:val="endsenrhsennumparatext"/>
                <w:rFonts w:cs="Arial"/>
                <w:b/>
                <w:sz w:val="22"/>
                <w:szCs w:val="22"/>
                <w:lang w:val="en"/>
              </w:rPr>
            </w:pPr>
            <w:r w:rsidRPr="006C46BE">
              <w:rPr>
                <w:rStyle w:val="endsenrhsennumparatext"/>
                <w:rFonts w:cs="Arial"/>
                <w:b/>
                <w:sz w:val="22"/>
                <w:szCs w:val="22"/>
                <w:lang w:val="en"/>
              </w:rPr>
              <w:t>1 April 2017</w:t>
            </w:r>
          </w:p>
        </w:tc>
        <w:tc>
          <w:tcPr>
            <w:tcW w:w="1417" w:type="dxa"/>
            <w:tcBorders>
              <w:top w:val="dotted" w:sz="4" w:space="0" w:color="auto"/>
              <w:left w:val="dotted" w:sz="4" w:space="0" w:color="auto"/>
              <w:bottom w:val="dotted" w:sz="4" w:space="0" w:color="auto"/>
              <w:right w:val="dotted" w:sz="4" w:space="0" w:color="auto"/>
            </w:tcBorders>
            <w:noWrap/>
            <w:hideMark/>
          </w:tcPr>
          <w:p w:rsidR="00223A6F" w:rsidRPr="006C46BE" w:rsidRDefault="00223A6F" w:rsidP="009672DE">
            <w:pPr>
              <w:jc w:val="center"/>
              <w:rPr>
                <w:rFonts w:cs="Arial"/>
                <w:b/>
                <w:sz w:val="22"/>
                <w:szCs w:val="22"/>
                <w:lang w:eastAsia="en-GB"/>
              </w:rPr>
            </w:pPr>
            <w:r w:rsidRPr="006C46BE">
              <w:rPr>
                <w:rFonts w:cs="Arial"/>
                <w:b/>
                <w:sz w:val="22"/>
                <w:szCs w:val="22"/>
                <w:lang w:eastAsia="en-GB"/>
              </w:rPr>
              <w:t>2,142</w:t>
            </w:r>
          </w:p>
        </w:tc>
        <w:tc>
          <w:tcPr>
            <w:tcW w:w="1559" w:type="dxa"/>
            <w:tcBorders>
              <w:top w:val="dotted" w:sz="4" w:space="0" w:color="auto"/>
              <w:left w:val="dotted" w:sz="4" w:space="0" w:color="auto"/>
              <w:bottom w:val="dotted" w:sz="4" w:space="0" w:color="auto"/>
              <w:right w:val="dotted" w:sz="4" w:space="0" w:color="auto"/>
            </w:tcBorders>
            <w:hideMark/>
          </w:tcPr>
          <w:p w:rsidR="00223A6F" w:rsidRPr="006C46BE" w:rsidRDefault="00223A6F" w:rsidP="009672DE">
            <w:pPr>
              <w:jc w:val="center"/>
              <w:rPr>
                <w:rFonts w:cs="Arial"/>
                <w:b/>
                <w:sz w:val="22"/>
                <w:szCs w:val="22"/>
                <w:lang w:eastAsia="en-GB"/>
              </w:rPr>
            </w:pPr>
            <w:r w:rsidRPr="006C46BE">
              <w:rPr>
                <w:rFonts w:cs="Arial"/>
                <w:b/>
                <w:sz w:val="22"/>
                <w:szCs w:val="22"/>
                <w:lang w:eastAsia="en-GB"/>
              </w:rPr>
              <w:t>3,178</w:t>
            </w:r>
          </w:p>
        </w:tc>
        <w:tc>
          <w:tcPr>
            <w:tcW w:w="1134" w:type="dxa"/>
            <w:tcBorders>
              <w:top w:val="dotted" w:sz="4" w:space="0" w:color="auto"/>
              <w:left w:val="dotted" w:sz="4" w:space="0" w:color="auto"/>
              <w:bottom w:val="dotted" w:sz="4" w:space="0" w:color="auto"/>
              <w:right w:val="dotted" w:sz="4" w:space="0" w:color="auto"/>
            </w:tcBorders>
            <w:hideMark/>
          </w:tcPr>
          <w:p w:rsidR="00223A6F" w:rsidRPr="006C46BE" w:rsidRDefault="00223A6F" w:rsidP="009672DE">
            <w:pPr>
              <w:jc w:val="center"/>
              <w:rPr>
                <w:rFonts w:cs="Arial"/>
                <w:b/>
                <w:sz w:val="22"/>
                <w:szCs w:val="22"/>
                <w:lang w:eastAsia="en-GB"/>
              </w:rPr>
            </w:pPr>
            <w:r w:rsidRPr="006C46BE">
              <w:rPr>
                <w:rFonts w:cs="Arial"/>
                <w:b/>
                <w:sz w:val="22"/>
                <w:szCs w:val="22"/>
                <w:lang w:eastAsia="en-GB"/>
              </w:rPr>
              <w:t>8,961</w:t>
            </w:r>
          </w:p>
        </w:tc>
        <w:tc>
          <w:tcPr>
            <w:tcW w:w="1245" w:type="dxa"/>
            <w:tcBorders>
              <w:top w:val="dotted" w:sz="4" w:space="0" w:color="auto"/>
              <w:left w:val="dotted" w:sz="4" w:space="0" w:color="auto"/>
              <w:bottom w:val="dotted" w:sz="4" w:space="0" w:color="auto"/>
              <w:right w:val="dotted" w:sz="4" w:space="0" w:color="auto"/>
            </w:tcBorders>
            <w:noWrap/>
            <w:hideMark/>
          </w:tcPr>
          <w:p w:rsidR="00223A6F" w:rsidRPr="006C46BE" w:rsidRDefault="00223A6F" w:rsidP="009672DE">
            <w:pPr>
              <w:jc w:val="center"/>
              <w:rPr>
                <w:rFonts w:cs="Arial"/>
                <w:b/>
                <w:sz w:val="22"/>
                <w:szCs w:val="22"/>
                <w:lang w:eastAsia="en-GB"/>
              </w:rPr>
            </w:pPr>
            <w:r w:rsidRPr="006C46BE">
              <w:rPr>
                <w:rFonts w:cs="Arial"/>
                <w:b/>
                <w:sz w:val="22"/>
                <w:szCs w:val="22"/>
                <w:lang w:eastAsia="en-GB"/>
              </w:rPr>
              <w:t>14,281</w:t>
            </w:r>
          </w:p>
        </w:tc>
      </w:tr>
      <w:tr w:rsidR="00223A6F" w:rsidRPr="006C46BE" w:rsidTr="009672DE">
        <w:trPr>
          <w:trHeight w:val="255"/>
        </w:trPr>
        <w:tc>
          <w:tcPr>
            <w:tcW w:w="3675" w:type="dxa"/>
            <w:tcBorders>
              <w:top w:val="dotted" w:sz="4" w:space="0" w:color="auto"/>
              <w:left w:val="dotted" w:sz="4" w:space="0" w:color="auto"/>
              <w:bottom w:val="dotted" w:sz="4" w:space="0" w:color="auto"/>
              <w:right w:val="dotted" w:sz="4" w:space="0" w:color="auto"/>
            </w:tcBorders>
            <w:noWrap/>
            <w:vAlign w:val="bottom"/>
            <w:hideMark/>
          </w:tcPr>
          <w:p w:rsidR="009672DE" w:rsidRDefault="00223A6F">
            <w:pPr>
              <w:tabs>
                <w:tab w:val="left" w:pos="522"/>
              </w:tabs>
              <w:ind w:left="162"/>
              <w:rPr>
                <w:rStyle w:val="endsenrhsennumparatext"/>
                <w:rFonts w:cs="Arial"/>
                <w:sz w:val="22"/>
                <w:szCs w:val="22"/>
                <w:lang w:val="en"/>
              </w:rPr>
            </w:pPr>
            <w:r w:rsidRPr="006C46BE">
              <w:rPr>
                <w:rStyle w:val="endsenrhsennumparatext"/>
                <w:rFonts w:cs="Arial"/>
                <w:sz w:val="22"/>
                <w:szCs w:val="22"/>
                <w:lang w:val="en"/>
              </w:rPr>
              <w:t xml:space="preserve">Capital Receipts generated </w:t>
            </w:r>
          </w:p>
          <w:p w:rsidR="00223A6F" w:rsidRPr="006C46BE" w:rsidRDefault="00223A6F">
            <w:pPr>
              <w:tabs>
                <w:tab w:val="left" w:pos="522"/>
              </w:tabs>
              <w:ind w:left="162"/>
              <w:rPr>
                <w:rStyle w:val="endsenrhsennumparatext"/>
                <w:rFonts w:cs="Arial"/>
                <w:sz w:val="22"/>
                <w:szCs w:val="22"/>
                <w:lang w:val="en"/>
              </w:rPr>
            </w:pPr>
            <w:r w:rsidRPr="006C46BE">
              <w:rPr>
                <w:rStyle w:val="endsenrhsennumparatext"/>
                <w:rFonts w:cs="Arial"/>
                <w:sz w:val="22"/>
                <w:szCs w:val="22"/>
                <w:lang w:val="en"/>
              </w:rPr>
              <w:t>in the Year</w:t>
            </w:r>
          </w:p>
        </w:tc>
        <w:tc>
          <w:tcPr>
            <w:tcW w:w="1417" w:type="dxa"/>
            <w:tcBorders>
              <w:top w:val="dotted" w:sz="4" w:space="0" w:color="auto"/>
              <w:left w:val="dotted" w:sz="4" w:space="0" w:color="auto"/>
              <w:bottom w:val="dotted" w:sz="4" w:space="0" w:color="auto"/>
              <w:right w:val="dotted" w:sz="4" w:space="0" w:color="auto"/>
            </w:tcBorders>
            <w:noWrap/>
            <w:hideMark/>
          </w:tcPr>
          <w:p w:rsidR="00223A6F" w:rsidRPr="006C46BE" w:rsidRDefault="00223A6F" w:rsidP="009672DE">
            <w:pPr>
              <w:jc w:val="center"/>
              <w:rPr>
                <w:rFonts w:cs="Arial"/>
                <w:sz w:val="22"/>
                <w:szCs w:val="22"/>
                <w:lang w:eastAsia="en-GB"/>
              </w:rPr>
            </w:pPr>
            <w:r w:rsidRPr="006C46BE">
              <w:rPr>
                <w:rFonts w:cs="Arial"/>
                <w:sz w:val="22"/>
                <w:szCs w:val="22"/>
                <w:lang w:eastAsia="en-GB"/>
              </w:rPr>
              <w:t>394</w:t>
            </w:r>
          </w:p>
        </w:tc>
        <w:tc>
          <w:tcPr>
            <w:tcW w:w="1559" w:type="dxa"/>
            <w:tcBorders>
              <w:top w:val="dotted" w:sz="4" w:space="0" w:color="auto"/>
              <w:left w:val="dotted" w:sz="4" w:space="0" w:color="auto"/>
              <w:bottom w:val="dotted" w:sz="4" w:space="0" w:color="auto"/>
              <w:right w:val="dotted" w:sz="4" w:space="0" w:color="auto"/>
            </w:tcBorders>
            <w:hideMark/>
          </w:tcPr>
          <w:p w:rsidR="00223A6F" w:rsidRPr="006C46BE" w:rsidRDefault="00223A6F" w:rsidP="009672DE">
            <w:pPr>
              <w:jc w:val="center"/>
              <w:rPr>
                <w:rFonts w:cs="Arial"/>
                <w:sz w:val="22"/>
                <w:szCs w:val="22"/>
                <w:lang w:eastAsia="en-GB"/>
              </w:rPr>
            </w:pPr>
            <w:r w:rsidRPr="006C46BE">
              <w:rPr>
                <w:rFonts w:cs="Arial"/>
                <w:sz w:val="22"/>
                <w:szCs w:val="22"/>
                <w:lang w:eastAsia="en-GB"/>
              </w:rPr>
              <w:t>910</w:t>
            </w:r>
          </w:p>
        </w:tc>
        <w:tc>
          <w:tcPr>
            <w:tcW w:w="1134" w:type="dxa"/>
            <w:tcBorders>
              <w:top w:val="dotted" w:sz="4" w:space="0" w:color="auto"/>
              <w:left w:val="dotted" w:sz="4" w:space="0" w:color="auto"/>
              <w:bottom w:val="dotted" w:sz="4" w:space="0" w:color="auto"/>
              <w:right w:val="dotted" w:sz="4" w:space="0" w:color="auto"/>
            </w:tcBorders>
            <w:hideMark/>
          </w:tcPr>
          <w:p w:rsidR="00223A6F" w:rsidRPr="006C46BE" w:rsidRDefault="00223A6F" w:rsidP="009672DE">
            <w:pPr>
              <w:jc w:val="center"/>
              <w:rPr>
                <w:rFonts w:cs="Arial"/>
                <w:sz w:val="22"/>
                <w:szCs w:val="22"/>
                <w:lang w:eastAsia="en-GB"/>
              </w:rPr>
            </w:pPr>
            <w:r w:rsidRPr="006C46BE">
              <w:rPr>
                <w:rFonts w:cs="Arial"/>
                <w:sz w:val="22"/>
                <w:szCs w:val="22"/>
                <w:lang w:eastAsia="en-GB"/>
              </w:rPr>
              <w:t>48,840</w:t>
            </w:r>
          </w:p>
        </w:tc>
        <w:tc>
          <w:tcPr>
            <w:tcW w:w="1245" w:type="dxa"/>
            <w:tcBorders>
              <w:top w:val="dotted" w:sz="4" w:space="0" w:color="auto"/>
              <w:left w:val="dotted" w:sz="4" w:space="0" w:color="auto"/>
              <w:bottom w:val="dotted" w:sz="4" w:space="0" w:color="auto"/>
              <w:right w:val="dotted" w:sz="4" w:space="0" w:color="auto"/>
            </w:tcBorders>
            <w:noWrap/>
            <w:hideMark/>
          </w:tcPr>
          <w:p w:rsidR="00223A6F" w:rsidRPr="006C46BE" w:rsidRDefault="00223A6F" w:rsidP="009672DE">
            <w:pPr>
              <w:jc w:val="center"/>
              <w:rPr>
                <w:rFonts w:cs="Arial"/>
                <w:b/>
                <w:sz w:val="22"/>
                <w:szCs w:val="22"/>
                <w:lang w:eastAsia="en-GB"/>
              </w:rPr>
            </w:pPr>
            <w:r w:rsidRPr="006C46BE">
              <w:rPr>
                <w:rFonts w:cs="Arial"/>
                <w:b/>
                <w:sz w:val="22"/>
                <w:szCs w:val="22"/>
                <w:lang w:eastAsia="en-GB"/>
              </w:rPr>
              <w:t>50,144</w:t>
            </w:r>
          </w:p>
        </w:tc>
      </w:tr>
      <w:tr w:rsidR="00223A6F" w:rsidRPr="006C46BE" w:rsidTr="009672DE">
        <w:trPr>
          <w:trHeight w:val="255"/>
        </w:trPr>
        <w:tc>
          <w:tcPr>
            <w:tcW w:w="3675" w:type="dxa"/>
            <w:tcBorders>
              <w:top w:val="dotted" w:sz="4" w:space="0" w:color="auto"/>
              <w:left w:val="dotted" w:sz="4" w:space="0" w:color="auto"/>
              <w:bottom w:val="dotted" w:sz="4" w:space="0" w:color="auto"/>
              <w:right w:val="dotted" w:sz="4" w:space="0" w:color="auto"/>
            </w:tcBorders>
            <w:noWrap/>
            <w:vAlign w:val="bottom"/>
            <w:hideMark/>
          </w:tcPr>
          <w:p w:rsidR="00223A6F" w:rsidRPr="006C46BE" w:rsidRDefault="00223A6F">
            <w:pPr>
              <w:tabs>
                <w:tab w:val="left" w:pos="522"/>
              </w:tabs>
              <w:ind w:left="162"/>
              <w:rPr>
                <w:rStyle w:val="endsenrhsennumparatext"/>
                <w:rFonts w:cs="Arial"/>
                <w:sz w:val="22"/>
                <w:szCs w:val="22"/>
                <w:lang w:val="en"/>
              </w:rPr>
            </w:pPr>
            <w:r w:rsidRPr="006C46BE">
              <w:rPr>
                <w:rStyle w:val="endsenrhsennumparatext"/>
                <w:rFonts w:cs="Arial"/>
                <w:sz w:val="22"/>
                <w:szCs w:val="22"/>
                <w:lang w:val="en"/>
              </w:rPr>
              <w:t>Use of Receipts in year</w:t>
            </w:r>
          </w:p>
        </w:tc>
        <w:tc>
          <w:tcPr>
            <w:tcW w:w="1417" w:type="dxa"/>
            <w:tcBorders>
              <w:top w:val="dotted" w:sz="4" w:space="0" w:color="auto"/>
              <w:left w:val="dotted" w:sz="4" w:space="0" w:color="auto"/>
              <w:bottom w:val="dotted" w:sz="4" w:space="0" w:color="auto"/>
              <w:right w:val="dotted" w:sz="4" w:space="0" w:color="auto"/>
            </w:tcBorders>
            <w:noWrap/>
            <w:hideMark/>
          </w:tcPr>
          <w:p w:rsidR="00223A6F" w:rsidRPr="006C46BE" w:rsidRDefault="00223A6F" w:rsidP="009672DE">
            <w:pPr>
              <w:jc w:val="center"/>
              <w:rPr>
                <w:rFonts w:cs="Arial"/>
                <w:sz w:val="22"/>
                <w:szCs w:val="22"/>
                <w:lang w:eastAsia="en-GB"/>
              </w:rPr>
            </w:pPr>
            <w:r w:rsidRPr="006C46BE">
              <w:rPr>
                <w:rFonts w:cs="Arial"/>
                <w:sz w:val="22"/>
                <w:szCs w:val="22"/>
                <w:lang w:eastAsia="en-GB"/>
              </w:rPr>
              <w:t>0</w:t>
            </w:r>
          </w:p>
        </w:tc>
        <w:tc>
          <w:tcPr>
            <w:tcW w:w="1559" w:type="dxa"/>
            <w:tcBorders>
              <w:top w:val="dotted" w:sz="4" w:space="0" w:color="auto"/>
              <w:left w:val="dotted" w:sz="4" w:space="0" w:color="auto"/>
              <w:bottom w:val="dotted" w:sz="4" w:space="0" w:color="auto"/>
              <w:right w:val="dotted" w:sz="4" w:space="0" w:color="auto"/>
            </w:tcBorders>
            <w:hideMark/>
          </w:tcPr>
          <w:p w:rsidR="00223A6F" w:rsidRPr="006C46BE" w:rsidRDefault="00223A6F" w:rsidP="009672DE">
            <w:pPr>
              <w:jc w:val="center"/>
              <w:rPr>
                <w:rFonts w:cs="Arial"/>
                <w:sz w:val="22"/>
                <w:szCs w:val="22"/>
                <w:lang w:eastAsia="en-GB"/>
              </w:rPr>
            </w:pPr>
            <w:r w:rsidRPr="006C46BE">
              <w:rPr>
                <w:rFonts w:cs="Arial"/>
                <w:sz w:val="22"/>
                <w:szCs w:val="22"/>
                <w:lang w:eastAsia="en-GB"/>
              </w:rPr>
              <w:t>(390)</w:t>
            </w:r>
          </w:p>
        </w:tc>
        <w:tc>
          <w:tcPr>
            <w:tcW w:w="1134" w:type="dxa"/>
            <w:tcBorders>
              <w:top w:val="dotted" w:sz="4" w:space="0" w:color="auto"/>
              <w:left w:val="dotted" w:sz="4" w:space="0" w:color="auto"/>
              <w:bottom w:val="dotted" w:sz="4" w:space="0" w:color="auto"/>
              <w:right w:val="dotted" w:sz="4" w:space="0" w:color="auto"/>
            </w:tcBorders>
            <w:hideMark/>
          </w:tcPr>
          <w:p w:rsidR="00223A6F" w:rsidRPr="006C46BE" w:rsidRDefault="00223A6F" w:rsidP="009672DE">
            <w:pPr>
              <w:jc w:val="center"/>
              <w:rPr>
                <w:rFonts w:cs="Arial"/>
                <w:sz w:val="22"/>
                <w:szCs w:val="22"/>
                <w:lang w:eastAsia="en-GB"/>
              </w:rPr>
            </w:pPr>
            <w:r w:rsidRPr="006C46BE">
              <w:rPr>
                <w:rFonts w:cs="Arial"/>
                <w:sz w:val="22"/>
                <w:szCs w:val="22"/>
                <w:lang w:eastAsia="en-GB"/>
              </w:rPr>
              <w:t>(48,169)</w:t>
            </w:r>
          </w:p>
        </w:tc>
        <w:tc>
          <w:tcPr>
            <w:tcW w:w="1245" w:type="dxa"/>
            <w:tcBorders>
              <w:top w:val="dotted" w:sz="4" w:space="0" w:color="auto"/>
              <w:left w:val="dotted" w:sz="4" w:space="0" w:color="auto"/>
              <w:bottom w:val="dotted" w:sz="4" w:space="0" w:color="auto"/>
              <w:right w:val="dotted" w:sz="4" w:space="0" w:color="auto"/>
            </w:tcBorders>
            <w:noWrap/>
            <w:hideMark/>
          </w:tcPr>
          <w:p w:rsidR="00223A6F" w:rsidRPr="006C46BE" w:rsidRDefault="00223A6F" w:rsidP="009672DE">
            <w:pPr>
              <w:jc w:val="center"/>
              <w:rPr>
                <w:rFonts w:cs="Arial"/>
                <w:b/>
                <w:sz w:val="22"/>
                <w:szCs w:val="22"/>
                <w:lang w:eastAsia="en-GB"/>
              </w:rPr>
            </w:pPr>
            <w:r w:rsidRPr="006C46BE">
              <w:rPr>
                <w:rFonts w:cs="Arial"/>
                <w:b/>
                <w:sz w:val="22"/>
                <w:szCs w:val="22"/>
                <w:lang w:eastAsia="en-GB"/>
              </w:rPr>
              <w:t>(48,559)</w:t>
            </w:r>
          </w:p>
        </w:tc>
      </w:tr>
      <w:tr w:rsidR="00223A6F" w:rsidRPr="006C46BE" w:rsidTr="009672DE">
        <w:trPr>
          <w:trHeight w:val="255"/>
        </w:trPr>
        <w:tc>
          <w:tcPr>
            <w:tcW w:w="3675" w:type="dxa"/>
            <w:tcBorders>
              <w:top w:val="dotted" w:sz="4" w:space="0" w:color="auto"/>
              <w:left w:val="dotted" w:sz="4" w:space="0" w:color="auto"/>
              <w:bottom w:val="dotted" w:sz="4" w:space="0" w:color="auto"/>
              <w:right w:val="dotted" w:sz="4" w:space="0" w:color="auto"/>
            </w:tcBorders>
            <w:noWrap/>
            <w:vAlign w:val="bottom"/>
          </w:tcPr>
          <w:p w:rsidR="00223A6F" w:rsidRPr="006C46BE" w:rsidRDefault="00223A6F">
            <w:pPr>
              <w:tabs>
                <w:tab w:val="left" w:pos="522"/>
              </w:tabs>
              <w:ind w:left="162"/>
              <w:rPr>
                <w:rStyle w:val="endsenrhsennumparatext"/>
                <w:rFonts w:cs="Arial"/>
                <w:sz w:val="22"/>
                <w:szCs w:val="22"/>
                <w:lang w:val="en"/>
              </w:rPr>
            </w:pPr>
          </w:p>
        </w:tc>
        <w:tc>
          <w:tcPr>
            <w:tcW w:w="1417" w:type="dxa"/>
            <w:tcBorders>
              <w:top w:val="dotted" w:sz="4" w:space="0" w:color="auto"/>
              <w:left w:val="dotted" w:sz="4" w:space="0" w:color="auto"/>
              <w:bottom w:val="dotted" w:sz="4" w:space="0" w:color="auto"/>
              <w:right w:val="dotted" w:sz="4" w:space="0" w:color="auto"/>
            </w:tcBorders>
            <w:noWrap/>
          </w:tcPr>
          <w:p w:rsidR="00223A6F" w:rsidRPr="006C46BE" w:rsidRDefault="00223A6F" w:rsidP="009672DE">
            <w:pPr>
              <w:jc w:val="center"/>
              <w:rPr>
                <w:rFonts w:cs="Arial"/>
                <w:sz w:val="22"/>
                <w:szCs w:val="22"/>
                <w:lang w:eastAsia="en-GB"/>
              </w:rPr>
            </w:pPr>
          </w:p>
        </w:tc>
        <w:tc>
          <w:tcPr>
            <w:tcW w:w="1559" w:type="dxa"/>
            <w:tcBorders>
              <w:top w:val="dotted" w:sz="4" w:space="0" w:color="auto"/>
              <w:left w:val="dotted" w:sz="4" w:space="0" w:color="auto"/>
              <w:bottom w:val="single" w:sz="4" w:space="0" w:color="auto"/>
              <w:right w:val="dotted" w:sz="4" w:space="0" w:color="auto"/>
            </w:tcBorders>
          </w:tcPr>
          <w:p w:rsidR="00223A6F" w:rsidRPr="006C46BE" w:rsidRDefault="00223A6F" w:rsidP="009672DE">
            <w:pPr>
              <w:jc w:val="center"/>
              <w:rPr>
                <w:rFonts w:cs="Arial"/>
                <w:sz w:val="22"/>
                <w:szCs w:val="22"/>
                <w:lang w:eastAsia="en-GB"/>
              </w:rPr>
            </w:pPr>
          </w:p>
        </w:tc>
        <w:tc>
          <w:tcPr>
            <w:tcW w:w="1134" w:type="dxa"/>
            <w:tcBorders>
              <w:top w:val="dotted" w:sz="4" w:space="0" w:color="auto"/>
              <w:left w:val="dotted" w:sz="4" w:space="0" w:color="auto"/>
              <w:bottom w:val="single" w:sz="4" w:space="0" w:color="auto"/>
              <w:right w:val="dotted" w:sz="4" w:space="0" w:color="auto"/>
            </w:tcBorders>
          </w:tcPr>
          <w:p w:rsidR="00223A6F" w:rsidRPr="006C46BE" w:rsidRDefault="00223A6F" w:rsidP="009672DE">
            <w:pPr>
              <w:jc w:val="center"/>
              <w:rPr>
                <w:rFonts w:cs="Arial"/>
                <w:sz w:val="22"/>
                <w:szCs w:val="22"/>
                <w:lang w:eastAsia="en-GB"/>
              </w:rPr>
            </w:pPr>
          </w:p>
        </w:tc>
        <w:tc>
          <w:tcPr>
            <w:tcW w:w="1245" w:type="dxa"/>
            <w:tcBorders>
              <w:top w:val="dotted" w:sz="4" w:space="0" w:color="auto"/>
              <w:left w:val="dotted" w:sz="4" w:space="0" w:color="auto"/>
              <w:bottom w:val="single" w:sz="4" w:space="0" w:color="auto"/>
              <w:right w:val="dotted" w:sz="4" w:space="0" w:color="auto"/>
            </w:tcBorders>
            <w:noWrap/>
          </w:tcPr>
          <w:p w:rsidR="00223A6F" w:rsidRPr="006C46BE" w:rsidRDefault="00223A6F" w:rsidP="009672DE">
            <w:pPr>
              <w:jc w:val="center"/>
              <w:rPr>
                <w:rFonts w:cs="Arial"/>
                <w:b/>
                <w:sz w:val="22"/>
                <w:szCs w:val="22"/>
                <w:lang w:eastAsia="en-GB"/>
              </w:rPr>
            </w:pPr>
          </w:p>
        </w:tc>
      </w:tr>
      <w:tr w:rsidR="00223A6F" w:rsidRPr="006C46BE" w:rsidTr="009672DE">
        <w:trPr>
          <w:trHeight w:val="255"/>
        </w:trPr>
        <w:tc>
          <w:tcPr>
            <w:tcW w:w="3675" w:type="dxa"/>
            <w:tcBorders>
              <w:top w:val="dotted" w:sz="4" w:space="0" w:color="auto"/>
              <w:left w:val="dotted" w:sz="4" w:space="0" w:color="auto"/>
              <w:bottom w:val="dotted" w:sz="4" w:space="0" w:color="auto"/>
              <w:right w:val="dotted" w:sz="4" w:space="0" w:color="auto"/>
            </w:tcBorders>
            <w:noWrap/>
            <w:vAlign w:val="bottom"/>
            <w:hideMark/>
          </w:tcPr>
          <w:p w:rsidR="009672DE" w:rsidRDefault="00223A6F">
            <w:pPr>
              <w:tabs>
                <w:tab w:val="left" w:pos="522"/>
              </w:tabs>
              <w:ind w:left="162"/>
              <w:rPr>
                <w:rStyle w:val="endsenrhsennumparatext"/>
                <w:rFonts w:cs="Arial"/>
                <w:b/>
                <w:sz w:val="22"/>
                <w:szCs w:val="22"/>
                <w:lang w:val="en"/>
              </w:rPr>
            </w:pPr>
            <w:r w:rsidRPr="006C46BE">
              <w:rPr>
                <w:rStyle w:val="endsenrhsennumparatext"/>
                <w:rFonts w:cs="Arial"/>
                <w:b/>
                <w:sz w:val="22"/>
                <w:szCs w:val="22"/>
                <w:lang w:val="en"/>
              </w:rPr>
              <w:t xml:space="preserve">Projected Receipts at </w:t>
            </w:r>
          </w:p>
          <w:p w:rsidR="00223A6F" w:rsidRPr="006C46BE" w:rsidRDefault="00223A6F">
            <w:pPr>
              <w:tabs>
                <w:tab w:val="left" w:pos="522"/>
              </w:tabs>
              <w:ind w:left="162"/>
              <w:rPr>
                <w:rStyle w:val="endsenrhsennumparatext"/>
                <w:rFonts w:cs="Arial"/>
                <w:b/>
                <w:sz w:val="22"/>
                <w:szCs w:val="22"/>
                <w:lang w:val="en"/>
              </w:rPr>
            </w:pPr>
            <w:r w:rsidRPr="006C46BE">
              <w:rPr>
                <w:rStyle w:val="endsenrhsennumparatext"/>
                <w:rFonts w:cs="Arial"/>
                <w:b/>
                <w:sz w:val="22"/>
                <w:szCs w:val="22"/>
                <w:lang w:val="en"/>
              </w:rPr>
              <w:t>31 March 2018</w:t>
            </w:r>
          </w:p>
        </w:tc>
        <w:tc>
          <w:tcPr>
            <w:tcW w:w="1417" w:type="dxa"/>
            <w:tcBorders>
              <w:top w:val="single" w:sz="4" w:space="0" w:color="auto"/>
              <w:left w:val="dotted" w:sz="4" w:space="0" w:color="auto"/>
              <w:bottom w:val="single" w:sz="4" w:space="0" w:color="auto"/>
              <w:right w:val="dotted" w:sz="4" w:space="0" w:color="auto"/>
            </w:tcBorders>
            <w:noWrap/>
            <w:hideMark/>
          </w:tcPr>
          <w:p w:rsidR="00223A6F" w:rsidRPr="006C46BE" w:rsidRDefault="00223A6F" w:rsidP="009672DE">
            <w:pPr>
              <w:jc w:val="center"/>
              <w:rPr>
                <w:rFonts w:cs="Arial"/>
                <w:b/>
                <w:sz w:val="22"/>
                <w:szCs w:val="22"/>
                <w:lang w:eastAsia="en-GB"/>
              </w:rPr>
            </w:pPr>
            <w:r w:rsidRPr="006C46BE">
              <w:rPr>
                <w:rFonts w:cs="Arial"/>
                <w:b/>
                <w:sz w:val="22"/>
                <w:szCs w:val="22"/>
                <w:lang w:eastAsia="en-GB"/>
              </w:rPr>
              <w:t>2,536</w:t>
            </w:r>
          </w:p>
        </w:tc>
        <w:tc>
          <w:tcPr>
            <w:tcW w:w="1559" w:type="dxa"/>
            <w:tcBorders>
              <w:top w:val="single" w:sz="4" w:space="0" w:color="auto"/>
              <w:left w:val="dotted" w:sz="4" w:space="0" w:color="auto"/>
              <w:bottom w:val="single" w:sz="4" w:space="0" w:color="auto"/>
              <w:right w:val="dotted" w:sz="4" w:space="0" w:color="auto"/>
            </w:tcBorders>
            <w:hideMark/>
          </w:tcPr>
          <w:p w:rsidR="00223A6F" w:rsidRPr="006C46BE" w:rsidRDefault="00223A6F" w:rsidP="009672DE">
            <w:pPr>
              <w:jc w:val="center"/>
              <w:rPr>
                <w:rFonts w:cs="Arial"/>
                <w:b/>
                <w:sz w:val="22"/>
                <w:szCs w:val="22"/>
                <w:lang w:eastAsia="en-GB"/>
              </w:rPr>
            </w:pPr>
            <w:r w:rsidRPr="006C46BE">
              <w:rPr>
                <w:rFonts w:cs="Arial"/>
                <w:b/>
                <w:sz w:val="22"/>
                <w:szCs w:val="22"/>
                <w:lang w:eastAsia="en-GB"/>
              </w:rPr>
              <w:t>3,698</w:t>
            </w:r>
          </w:p>
        </w:tc>
        <w:tc>
          <w:tcPr>
            <w:tcW w:w="1134" w:type="dxa"/>
            <w:tcBorders>
              <w:top w:val="single" w:sz="4" w:space="0" w:color="auto"/>
              <w:left w:val="dotted" w:sz="4" w:space="0" w:color="auto"/>
              <w:bottom w:val="single" w:sz="4" w:space="0" w:color="auto"/>
              <w:right w:val="dotted" w:sz="4" w:space="0" w:color="auto"/>
            </w:tcBorders>
            <w:hideMark/>
          </w:tcPr>
          <w:p w:rsidR="00223A6F" w:rsidRPr="006C46BE" w:rsidRDefault="00223A6F" w:rsidP="009672DE">
            <w:pPr>
              <w:jc w:val="center"/>
              <w:rPr>
                <w:rFonts w:cs="Arial"/>
                <w:b/>
                <w:sz w:val="22"/>
                <w:szCs w:val="22"/>
                <w:lang w:eastAsia="en-GB"/>
              </w:rPr>
            </w:pPr>
            <w:r w:rsidRPr="006C46BE">
              <w:rPr>
                <w:rFonts w:cs="Arial"/>
                <w:b/>
                <w:sz w:val="22"/>
                <w:szCs w:val="22"/>
                <w:lang w:eastAsia="en-GB"/>
              </w:rPr>
              <w:t>9,632</w:t>
            </w:r>
          </w:p>
        </w:tc>
        <w:tc>
          <w:tcPr>
            <w:tcW w:w="1245" w:type="dxa"/>
            <w:tcBorders>
              <w:top w:val="single" w:sz="4" w:space="0" w:color="auto"/>
              <w:left w:val="dotted" w:sz="4" w:space="0" w:color="auto"/>
              <w:bottom w:val="single" w:sz="4" w:space="0" w:color="auto"/>
              <w:right w:val="dotted" w:sz="4" w:space="0" w:color="auto"/>
            </w:tcBorders>
            <w:noWrap/>
            <w:hideMark/>
          </w:tcPr>
          <w:p w:rsidR="00223A6F" w:rsidRPr="006C46BE" w:rsidRDefault="00223A6F" w:rsidP="009672DE">
            <w:pPr>
              <w:jc w:val="center"/>
              <w:rPr>
                <w:rFonts w:cs="Arial"/>
                <w:b/>
                <w:sz w:val="22"/>
                <w:szCs w:val="22"/>
                <w:lang w:eastAsia="en-GB"/>
              </w:rPr>
            </w:pPr>
            <w:r w:rsidRPr="006C46BE">
              <w:rPr>
                <w:rFonts w:cs="Arial"/>
                <w:b/>
                <w:sz w:val="22"/>
                <w:szCs w:val="22"/>
                <w:lang w:eastAsia="en-GB"/>
              </w:rPr>
              <w:t>15,866</w:t>
            </w:r>
          </w:p>
        </w:tc>
      </w:tr>
    </w:tbl>
    <w:p w:rsidR="00223A6F" w:rsidRPr="006C46BE" w:rsidRDefault="00223A6F" w:rsidP="00223A6F">
      <w:pPr>
        <w:ind w:left="720" w:hanging="720"/>
        <w:rPr>
          <w:rFonts w:cs="Arial"/>
          <w:b/>
          <w:sz w:val="22"/>
          <w:szCs w:val="22"/>
        </w:rPr>
      </w:pPr>
    </w:p>
    <w:p w:rsidR="00223A6F" w:rsidRPr="00381F0C" w:rsidRDefault="00223A6F" w:rsidP="00223A6F">
      <w:pPr>
        <w:ind w:left="720" w:hanging="720"/>
        <w:rPr>
          <w:rFonts w:cs="Arial"/>
          <w:b/>
          <w:sz w:val="22"/>
          <w:szCs w:val="22"/>
        </w:rPr>
      </w:pPr>
      <w:r w:rsidRPr="006C46BE">
        <w:rPr>
          <w:rFonts w:cs="Arial"/>
          <w:b/>
          <w:sz w:val="22"/>
          <w:szCs w:val="22"/>
        </w:rPr>
        <w:t>5</w:t>
      </w:r>
      <w:r w:rsidR="009672DE">
        <w:rPr>
          <w:rFonts w:cs="Arial"/>
          <w:b/>
          <w:sz w:val="22"/>
          <w:szCs w:val="22"/>
        </w:rPr>
        <w:t>.</w:t>
      </w:r>
      <w:r w:rsidRPr="006C46BE">
        <w:rPr>
          <w:rFonts w:cs="Arial"/>
          <w:sz w:val="22"/>
          <w:szCs w:val="22"/>
        </w:rPr>
        <w:tab/>
      </w:r>
      <w:r w:rsidRPr="00381F0C">
        <w:rPr>
          <w:rFonts w:cs="Arial"/>
          <w:b/>
          <w:sz w:val="22"/>
          <w:szCs w:val="22"/>
        </w:rPr>
        <w:t>Legal Implications</w:t>
      </w:r>
    </w:p>
    <w:p w:rsidR="00223A6F" w:rsidRPr="00381F0C" w:rsidRDefault="00223A6F" w:rsidP="00223A6F">
      <w:pPr>
        <w:ind w:left="720" w:hanging="720"/>
        <w:rPr>
          <w:rFonts w:cs="Arial"/>
          <w:sz w:val="22"/>
          <w:szCs w:val="22"/>
        </w:rPr>
      </w:pPr>
    </w:p>
    <w:p w:rsidR="00223A6F" w:rsidRPr="006C46BE" w:rsidRDefault="00223A6F" w:rsidP="00223A6F">
      <w:pPr>
        <w:ind w:left="709" w:hanging="709"/>
        <w:rPr>
          <w:rStyle w:val="endsenrhsennumparatext"/>
          <w:rFonts w:cs="Arial"/>
          <w:sz w:val="22"/>
          <w:szCs w:val="22"/>
          <w:lang w:val="en"/>
        </w:rPr>
      </w:pPr>
      <w:r w:rsidRPr="006C46BE">
        <w:rPr>
          <w:rFonts w:cs="Arial"/>
          <w:sz w:val="22"/>
          <w:szCs w:val="22"/>
        </w:rPr>
        <w:t>5.1</w:t>
      </w:r>
      <w:r w:rsidRPr="006C46BE">
        <w:rPr>
          <w:rFonts w:cs="Arial"/>
          <w:sz w:val="22"/>
          <w:szCs w:val="22"/>
        </w:rPr>
        <w:tab/>
        <w:t>Section 28 of the Local Government Act 2003 requires authorities</w:t>
      </w:r>
      <w:r w:rsidRPr="006C46BE">
        <w:rPr>
          <w:rFonts w:cs="Arial"/>
          <w:sz w:val="22"/>
          <w:szCs w:val="22"/>
          <w:lang w:val="en"/>
        </w:rPr>
        <w:t xml:space="preserve"> </w:t>
      </w:r>
      <w:r w:rsidRPr="006C46BE">
        <w:rPr>
          <w:rStyle w:val="endsenrhsennumparatext"/>
          <w:rFonts w:cs="Arial"/>
          <w:sz w:val="22"/>
          <w:szCs w:val="22"/>
          <w:lang w:val="en"/>
        </w:rPr>
        <w:t>to monitor their income and expenditure against their budget, and be ready to take action if overspends or shortfalls in income emerge.  If monitoring establishes that the budgetary situation has deteriorated, authorities are required to take such action as they consider necessary. This might include, for instance, action to reduce spending in the rest of the year, or to increase income, or the authority might decide to take no action but to finance the shortfall from reserves.</w:t>
      </w:r>
    </w:p>
    <w:p w:rsidR="00223A6F" w:rsidRPr="006C46BE" w:rsidRDefault="00223A6F" w:rsidP="00223A6F">
      <w:pPr>
        <w:rPr>
          <w:rStyle w:val="endsenrhsennumparatext"/>
          <w:rFonts w:cs="Arial"/>
          <w:sz w:val="22"/>
          <w:szCs w:val="22"/>
          <w:lang w:val="en"/>
        </w:rPr>
      </w:pPr>
    </w:p>
    <w:p w:rsidR="00223A6F" w:rsidRPr="00381F0C" w:rsidRDefault="00223A6F" w:rsidP="00223A6F">
      <w:pPr>
        <w:rPr>
          <w:rStyle w:val="endsenrhsennumparatext"/>
          <w:rFonts w:cs="Arial"/>
          <w:b/>
          <w:sz w:val="22"/>
          <w:szCs w:val="22"/>
          <w:lang w:val="en"/>
        </w:rPr>
      </w:pPr>
      <w:r w:rsidRPr="006C46BE">
        <w:rPr>
          <w:rStyle w:val="endsenrhsennumparatext"/>
          <w:rFonts w:cs="Arial"/>
          <w:b/>
          <w:sz w:val="22"/>
          <w:szCs w:val="22"/>
          <w:lang w:val="en"/>
        </w:rPr>
        <w:lastRenderedPageBreak/>
        <w:t>6</w:t>
      </w:r>
      <w:r w:rsidR="009672DE">
        <w:rPr>
          <w:rStyle w:val="endsenrhsennumparatext"/>
          <w:rFonts w:cs="Arial"/>
          <w:b/>
          <w:sz w:val="22"/>
          <w:szCs w:val="22"/>
          <w:lang w:val="en"/>
        </w:rPr>
        <w:t>.</w:t>
      </w:r>
      <w:r w:rsidRPr="006C46BE">
        <w:rPr>
          <w:rStyle w:val="endsenrhsennumparatext"/>
          <w:rFonts w:cs="Arial"/>
          <w:b/>
          <w:sz w:val="22"/>
          <w:szCs w:val="22"/>
          <w:lang w:val="en"/>
        </w:rPr>
        <w:tab/>
      </w:r>
      <w:r w:rsidRPr="00381F0C">
        <w:rPr>
          <w:rStyle w:val="endsenrhsennumparatext"/>
          <w:rFonts w:cs="Arial"/>
          <w:b/>
          <w:sz w:val="22"/>
          <w:szCs w:val="22"/>
          <w:lang w:val="en"/>
        </w:rPr>
        <w:t>Conclusion</w:t>
      </w:r>
    </w:p>
    <w:p w:rsidR="00223A6F" w:rsidRPr="006C46BE" w:rsidRDefault="00223A6F" w:rsidP="00223A6F">
      <w:pPr>
        <w:rPr>
          <w:rStyle w:val="endsenrhsennumparatext"/>
          <w:rFonts w:cs="Arial"/>
          <w:b/>
          <w:sz w:val="22"/>
          <w:szCs w:val="22"/>
          <w:u w:val="single"/>
          <w:lang w:val="en"/>
        </w:rPr>
      </w:pPr>
    </w:p>
    <w:p w:rsidR="00223A6F" w:rsidRPr="006C46BE" w:rsidRDefault="00223A6F" w:rsidP="00223A6F">
      <w:pPr>
        <w:ind w:left="709" w:hanging="709"/>
        <w:rPr>
          <w:rStyle w:val="endsenrhsennumparatext"/>
          <w:rFonts w:cs="Arial"/>
          <w:sz w:val="22"/>
          <w:szCs w:val="22"/>
          <w:lang w:val="en"/>
        </w:rPr>
      </w:pPr>
      <w:r w:rsidRPr="006C46BE">
        <w:rPr>
          <w:rStyle w:val="endsenrhsennumparatext"/>
          <w:rFonts w:cs="Arial"/>
          <w:sz w:val="22"/>
          <w:szCs w:val="22"/>
          <w:lang w:val="en"/>
        </w:rPr>
        <w:t>6.1</w:t>
      </w:r>
      <w:r w:rsidRPr="006C46BE">
        <w:rPr>
          <w:rStyle w:val="endsenrhsennumparatext"/>
          <w:rFonts w:cs="Arial"/>
          <w:sz w:val="22"/>
          <w:szCs w:val="22"/>
          <w:lang w:val="en"/>
        </w:rPr>
        <w:tab/>
        <w:t>The projected use of General Fund balances shown in Table 1 of the report shows an increase of £1.758m to over £2.460m based on information at 30 June 2017.  This includes £694,000 of unused budgets carried forward from 2016/17 where a corresponding saving was registered in the accounts.</w:t>
      </w:r>
      <w:r w:rsidR="009672DE">
        <w:rPr>
          <w:rStyle w:val="endsenrhsennumparatext"/>
          <w:rFonts w:cs="Arial"/>
          <w:sz w:val="22"/>
          <w:szCs w:val="22"/>
          <w:lang w:val="en"/>
        </w:rPr>
        <w:t xml:space="preserve">  </w:t>
      </w:r>
      <w:r w:rsidRPr="006C46BE">
        <w:rPr>
          <w:rStyle w:val="endsenrhsennumparatext"/>
          <w:rFonts w:cs="Arial"/>
          <w:sz w:val="22"/>
          <w:szCs w:val="22"/>
          <w:lang w:val="en"/>
        </w:rPr>
        <w:t xml:space="preserve">This leaves £1.099m of additional cost pressures that have been identified since the budget was approved in January 2017.  </w:t>
      </w:r>
    </w:p>
    <w:p w:rsidR="00223A6F" w:rsidRPr="006C46BE" w:rsidRDefault="00223A6F" w:rsidP="00223A6F">
      <w:pPr>
        <w:ind w:left="709" w:hanging="709"/>
        <w:rPr>
          <w:rStyle w:val="endsenrhsennumparatext"/>
          <w:rFonts w:cs="Arial"/>
          <w:sz w:val="22"/>
          <w:szCs w:val="22"/>
          <w:lang w:val="en"/>
        </w:rPr>
      </w:pPr>
    </w:p>
    <w:p w:rsidR="00223A6F" w:rsidRPr="006C46BE" w:rsidRDefault="00223A6F" w:rsidP="00223A6F">
      <w:pPr>
        <w:ind w:left="709" w:hanging="709"/>
        <w:rPr>
          <w:rStyle w:val="endsenrhsennumparatext"/>
          <w:rFonts w:cs="Arial"/>
          <w:sz w:val="22"/>
          <w:szCs w:val="22"/>
          <w:lang w:val="en"/>
        </w:rPr>
      </w:pPr>
      <w:r w:rsidRPr="006C46BE">
        <w:rPr>
          <w:rStyle w:val="endsenrhsennumparatext"/>
          <w:rFonts w:cs="Arial"/>
          <w:sz w:val="22"/>
          <w:szCs w:val="22"/>
          <w:lang w:val="en"/>
        </w:rPr>
        <w:t>6.2</w:t>
      </w:r>
      <w:r w:rsidRPr="006C46BE">
        <w:rPr>
          <w:rStyle w:val="endsenrhsennumparatext"/>
          <w:rFonts w:cs="Arial"/>
          <w:sz w:val="22"/>
          <w:szCs w:val="22"/>
          <w:lang w:val="en"/>
        </w:rPr>
        <w:tab/>
        <w:t>The Chief Executive and Corporate Director of Resources have a number of concerns leading up to Members considering the Medium Term Financial Strategy (MTFS) for 2018/19 to 2020/21 in the autumn.  These include:</w:t>
      </w:r>
    </w:p>
    <w:p w:rsidR="00223A6F" w:rsidRPr="006C46BE" w:rsidRDefault="00223A6F" w:rsidP="00223A6F">
      <w:pPr>
        <w:ind w:left="709" w:hanging="709"/>
        <w:rPr>
          <w:rStyle w:val="endsenrhsennumparatext"/>
          <w:rFonts w:cs="Arial"/>
          <w:sz w:val="22"/>
          <w:szCs w:val="22"/>
          <w:lang w:val="en"/>
        </w:rPr>
      </w:pPr>
    </w:p>
    <w:p w:rsidR="00223A6F" w:rsidRDefault="00223A6F" w:rsidP="00223A6F">
      <w:pPr>
        <w:pStyle w:val="ListParagraph"/>
        <w:numPr>
          <w:ilvl w:val="0"/>
          <w:numId w:val="33"/>
        </w:numPr>
        <w:spacing w:after="0" w:line="240" w:lineRule="auto"/>
        <w:ind w:left="1134"/>
        <w:rPr>
          <w:rStyle w:val="endsenrhsennumparatext"/>
          <w:rFonts w:ascii="Arial" w:hAnsi="Arial" w:cs="Arial"/>
          <w:lang w:val="en"/>
        </w:rPr>
      </w:pPr>
      <w:r w:rsidRPr="006C46BE">
        <w:rPr>
          <w:rStyle w:val="endsenrhsennumparatext"/>
          <w:rFonts w:ascii="Arial" w:hAnsi="Arial" w:cs="Arial"/>
          <w:lang w:val="en"/>
        </w:rPr>
        <w:t>A number of the cost pressures identified for 2017/18 will carry on into 2018/19 and beyond.</w:t>
      </w:r>
    </w:p>
    <w:p w:rsidR="005127AE" w:rsidRPr="006C46BE" w:rsidRDefault="005127AE" w:rsidP="005127AE">
      <w:pPr>
        <w:pStyle w:val="ListParagraph"/>
        <w:spacing w:after="0" w:line="240" w:lineRule="auto"/>
        <w:ind w:left="1134"/>
        <w:rPr>
          <w:rStyle w:val="endsenrhsennumparatext"/>
          <w:rFonts w:ascii="Arial" w:hAnsi="Arial" w:cs="Arial"/>
          <w:lang w:val="en"/>
        </w:rPr>
      </w:pPr>
    </w:p>
    <w:p w:rsidR="00223A6F" w:rsidRPr="006C46BE" w:rsidRDefault="00223A6F" w:rsidP="00223A6F">
      <w:pPr>
        <w:pStyle w:val="ListParagraph"/>
        <w:numPr>
          <w:ilvl w:val="0"/>
          <w:numId w:val="33"/>
        </w:numPr>
        <w:spacing w:after="0" w:line="240" w:lineRule="auto"/>
        <w:ind w:left="1134"/>
        <w:rPr>
          <w:rStyle w:val="endsenrhsennumparatext"/>
          <w:rFonts w:ascii="Arial" w:hAnsi="Arial" w:cs="Arial"/>
          <w:lang w:val="en"/>
        </w:rPr>
      </w:pPr>
      <w:r w:rsidRPr="006C46BE">
        <w:rPr>
          <w:rStyle w:val="endsenrhsennumparatext"/>
          <w:rFonts w:ascii="Arial" w:hAnsi="Arial" w:cs="Arial"/>
          <w:lang w:val="en"/>
        </w:rPr>
        <w:t>Surrey County Council are instigating a number of initiatives to reduce their budget.  One of these is to reduce refuse disposal costs by £4million over the next three years.  This will increase costs to the Surrey Districts and Boroughs.</w:t>
      </w:r>
    </w:p>
    <w:p w:rsidR="00223A6F" w:rsidRPr="006C46BE" w:rsidRDefault="00223A6F" w:rsidP="00223A6F">
      <w:pPr>
        <w:pStyle w:val="ListParagraph"/>
        <w:rPr>
          <w:rStyle w:val="endsenrhsennumparatext"/>
          <w:rFonts w:ascii="Arial" w:hAnsi="Arial" w:cs="Arial"/>
          <w:lang w:val="en"/>
        </w:rPr>
      </w:pPr>
    </w:p>
    <w:p w:rsidR="00223A6F" w:rsidRPr="006C46BE" w:rsidRDefault="00223A6F" w:rsidP="00223A6F">
      <w:pPr>
        <w:pStyle w:val="ListParagraph"/>
        <w:numPr>
          <w:ilvl w:val="0"/>
          <w:numId w:val="33"/>
        </w:numPr>
        <w:spacing w:after="0" w:line="240" w:lineRule="auto"/>
        <w:ind w:left="1134"/>
        <w:rPr>
          <w:rStyle w:val="endsenrhsennumparatext"/>
          <w:rFonts w:ascii="Arial" w:hAnsi="Arial" w:cs="Arial"/>
          <w:lang w:val="en"/>
        </w:rPr>
      </w:pPr>
      <w:r w:rsidRPr="006C46BE">
        <w:rPr>
          <w:rStyle w:val="endsenrhsennumparatext"/>
          <w:rFonts w:ascii="Arial" w:hAnsi="Arial" w:cs="Arial"/>
          <w:lang w:val="en"/>
        </w:rPr>
        <w:t>The MTFS does not anticipate any further reductions to Government funding other than those already announced.  However the long term funding provided by Business Rates retention and New Homes Bonus is far from certain.</w:t>
      </w:r>
    </w:p>
    <w:p w:rsidR="00223A6F" w:rsidRPr="006C46BE" w:rsidRDefault="00223A6F" w:rsidP="00223A6F">
      <w:pPr>
        <w:rPr>
          <w:rStyle w:val="endsenrhsennumparatext"/>
          <w:rFonts w:cs="Arial"/>
          <w:sz w:val="22"/>
          <w:szCs w:val="22"/>
          <w:lang w:val="en"/>
        </w:rPr>
      </w:pPr>
    </w:p>
    <w:p w:rsidR="00223A6F" w:rsidRPr="006C46BE" w:rsidRDefault="00223A6F" w:rsidP="00223A6F">
      <w:pPr>
        <w:pStyle w:val="ListParagraph"/>
        <w:numPr>
          <w:ilvl w:val="0"/>
          <w:numId w:val="33"/>
        </w:numPr>
        <w:spacing w:after="0" w:line="240" w:lineRule="auto"/>
        <w:ind w:left="1134"/>
        <w:rPr>
          <w:rStyle w:val="endsenrhsennumparatext"/>
          <w:rFonts w:ascii="Arial" w:hAnsi="Arial" w:cs="Arial"/>
          <w:lang w:val="en"/>
        </w:rPr>
      </w:pPr>
      <w:r w:rsidRPr="006C46BE">
        <w:rPr>
          <w:rStyle w:val="endsenrhsennumparatext"/>
          <w:rFonts w:ascii="Arial" w:hAnsi="Arial" w:cs="Arial"/>
          <w:lang w:val="en"/>
        </w:rPr>
        <w:t xml:space="preserve">The MTFS currently relies on new additional income of £10million by 2021.  To generate this income the Council has earmarked over £500million to be spent on regeneration and place shaping schemes within the Borough over the life of the Capital </w:t>
      </w:r>
      <w:proofErr w:type="spellStart"/>
      <w:r w:rsidRPr="006C46BE">
        <w:rPr>
          <w:rStyle w:val="endsenrhsennumparatext"/>
          <w:rFonts w:ascii="Arial" w:hAnsi="Arial" w:cs="Arial"/>
          <w:lang w:val="en"/>
        </w:rPr>
        <w:t>Programme</w:t>
      </w:r>
      <w:proofErr w:type="spellEnd"/>
      <w:r w:rsidRPr="006C46BE">
        <w:rPr>
          <w:rStyle w:val="endsenrhsennumparatext"/>
          <w:rFonts w:ascii="Arial" w:hAnsi="Arial" w:cs="Arial"/>
          <w:lang w:val="en"/>
        </w:rPr>
        <w:t>.  This strategy relies both on the Council identifying suitable assets that meet its stringent criteria and also no future Government intervention in such schemes.</w:t>
      </w:r>
    </w:p>
    <w:p w:rsidR="009672DE" w:rsidRPr="006C46BE" w:rsidRDefault="009672DE" w:rsidP="00223A6F">
      <w:pPr>
        <w:rPr>
          <w:rStyle w:val="endsenrhsennumparatext"/>
          <w:rFonts w:cs="Arial"/>
          <w:sz w:val="22"/>
          <w:szCs w:val="22"/>
          <w:lang w:val="en"/>
        </w:rPr>
      </w:pPr>
    </w:p>
    <w:p w:rsidR="00381F0C" w:rsidRDefault="00223A6F" w:rsidP="009672DE">
      <w:pPr>
        <w:tabs>
          <w:tab w:val="left" w:pos="1134"/>
        </w:tabs>
        <w:ind w:left="709" w:hanging="709"/>
        <w:rPr>
          <w:rStyle w:val="endsenrhsennumparatext"/>
          <w:rFonts w:cs="Arial"/>
          <w:sz w:val="22"/>
          <w:szCs w:val="22"/>
          <w:lang w:val="en"/>
        </w:rPr>
      </w:pPr>
      <w:r w:rsidRPr="006C46BE">
        <w:rPr>
          <w:rStyle w:val="endsenrhsennumparatext"/>
          <w:rFonts w:cs="Arial"/>
          <w:sz w:val="22"/>
          <w:szCs w:val="22"/>
          <w:lang w:val="en"/>
        </w:rPr>
        <w:t>6.3</w:t>
      </w:r>
      <w:r w:rsidRPr="006C46BE">
        <w:rPr>
          <w:rStyle w:val="endsenrhsennumparatext"/>
          <w:rFonts w:cs="Arial"/>
          <w:sz w:val="22"/>
          <w:szCs w:val="22"/>
          <w:lang w:val="en"/>
        </w:rPr>
        <w:tab/>
        <w:t>The above risks will be quantified as far as possible for Members</w:t>
      </w:r>
      <w:r w:rsidR="009672DE">
        <w:rPr>
          <w:rStyle w:val="endsenrhsennumparatext"/>
          <w:rFonts w:cs="Arial"/>
          <w:sz w:val="22"/>
          <w:szCs w:val="22"/>
          <w:lang w:val="en"/>
        </w:rPr>
        <w:t>’</w:t>
      </w:r>
      <w:r w:rsidRPr="006C46BE">
        <w:rPr>
          <w:rStyle w:val="endsenrhsennumparatext"/>
          <w:rFonts w:cs="Arial"/>
          <w:sz w:val="22"/>
          <w:szCs w:val="22"/>
          <w:lang w:val="en"/>
        </w:rPr>
        <w:t xml:space="preserve"> consideration in </w:t>
      </w:r>
    </w:p>
    <w:p w:rsidR="00223A6F" w:rsidRDefault="009672DE" w:rsidP="009672DE">
      <w:pPr>
        <w:tabs>
          <w:tab w:val="clear" w:pos="1440"/>
          <w:tab w:val="left" w:pos="1134"/>
        </w:tabs>
        <w:ind w:left="709" w:hanging="709"/>
        <w:rPr>
          <w:rStyle w:val="endsenrhsennumparatext"/>
          <w:rFonts w:cs="Arial"/>
          <w:sz w:val="22"/>
          <w:szCs w:val="22"/>
          <w:lang w:val="en"/>
        </w:rPr>
      </w:pPr>
      <w:r>
        <w:rPr>
          <w:rStyle w:val="endsenrhsennumparatext"/>
          <w:rFonts w:cs="Arial"/>
          <w:sz w:val="22"/>
          <w:szCs w:val="22"/>
          <w:lang w:val="en"/>
        </w:rPr>
        <w:tab/>
      </w:r>
      <w:r w:rsidR="00223A6F" w:rsidRPr="006C46BE">
        <w:rPr>
          <w:rStyle w:val="endsenrhsennumparatext"/>
          <w:rFonts w:cs="Arial"/>
          <w:sz w:val="22"/>
          <w:szCs w:val="22"/>
          <w:lang w:val="en"/>
        </w:rPr>
        <w:t>November when the draft MT</w:t>
      </w:r>
      <w:r>
        <w:rPr>
          <w:rStyle w:val="endsenrhsennumparatext"/>
          <w:rFonts w:cs="Arial"/>
          <w:sz w:val="22"/>
          <w:szCs w:val="22"/>
          <w:lang w:val="en"/>
        </w:rPr>
        <w:t>FS is to be considered by this C</w:t>
      </w:r>
      <w:r w:rsidR="00223A6F" w:rsidRPr="006C46BE">
        <w:rPr>
          <w:rStyle w:val="endsenrhsennumparatext"/>
          <w:rFonts w:cs="Arial"/>
          <w:sz w:val="22"/>
          <w:szCs w:val="22"/>
          <w:lang w:val="en"/>
        </w:rPr>
        <w:t>ommittee.</w:t>
      </w:r>
    </w:p>
    <w:p w:rsidR="00381F0C" w:rsidRDefault="00381F0C" w:rsidP="00223A6F">
      <w:pPr>
        <w:ind w:left="709" w:hanging="709"/>
        <w:rPr>
          <w:rStyle w:val="endsenrhsennumparatext"/>
          <w:rFonts w:cs="Arial"/>
          <w:sz w:val="22"/>
          <w:szCs w:val="22"/>
          <w:lang w:val="en"/>
        </w:rPr>
      </w:pPr>
    </w:p>
    <w:p w:rsidR="00381F0C" w:rsidRPr="002C3C7A" w:rsidRDefault="00381F0C" w:rsidP="00381F0C">
      <w:pPr>
        <w:ind w:left="2160" w:right="47" w:hanging="2160"/>
        <w:rPr>
          <w:rFonts w:cs="Arial"/>
          <w:b/>
          <w:bCs/>
          <w:sz w:val="22"/>
          <w:szCs w:val="22"/>
        </w:rPr>
      </w:pPr>
      <w:r>
        <w:rPr>
          <w:rStyle w:val="endsenrhsennumparatext"/>
          <w:rFonts w:cs="Arial"/>
          <w:sz w:val="22"/>
          <w:szCs w:val="22"/>
          <w:lang w:val="en"/>
        </w:rPr>
        <w:tab/>
      </w:r>
      <w:r w:rsidRPr="002C3C7A">
        <w:rPr>
          <w:rFonts w:cs="Arial"/>
          <w:b/>
          <w:bCs/>
          <w:sz w:val="22"/>
          <w:szCs w:val="22"/>
        </w:rPr>
        <w:t>(For information)</w:t>
      </w:r>
      <w:bookmarkStart w:id="0" w:name="_GoBack"/>
      <w:bookmarkEnd w:id="0"/>
    </w:p>
    <w:p w:rsidR="00381F0C" w:rsidRDefault="00381F0C" w:rsidP="00381F0C">
      <w:pPr>
        <w:ind w:left="2160" w:right="47" w:hanging="2160"/>
        <w:rPr>
          <w:rFonts w:ascii="Times New Roman" w:hAnsi="Times New Roman"/>
          <w:b/>
          <w:bCs/>
          <w:sz w:val="24"/>
          <w:szCs w:val="24"/>
        </w:rPr>
      </w:pPr>
    </w:p>
    <w:p w:rsidR="00381F0C" w:rsidRDefault="00381F0C" w:rsidP="00381F0C">
      <w:pPr>
        <w:ind w:left="2160" w:right="47" w:hanging="2160"/>
        <w:rPr>
          <w:rFonts w:cs="Arial"/>
          <w:b/>
          <w:bCs/>
          <w:sz w:val="22"/>
          <w:szCs w:val="22"/>
        </w:rPr>
      </w:pPr>
      <w:r>
        <w:rPr>
          <w:rFonts w:ascii="Times New Roman" w:hAnsi="Times New Roman"/>
          <w:b/>
          <w:bCs/>
          <w:sz w:val="24"/>
          <w:szCs w:val="24"/>
        </w:rPr>
        <w:tab/>
      </w:r>
      <w:r w:rsidRPr="00655C0E">
        <w:rPr>
          <w:rFonts w:cs="Arial"/>
          <w:b/>
          <w:bCs/>
          <w:sz w:val="22"/>
          <w:szCs w:val="22"/>
        </w:rPr>
        <w:t>Background Papers</w:t>
      </w:r>
    </w:p>
    <w:p w:rsidR="00381F0C" w:rsidRPr="00AE0B40" w:rsidRDefault="00381F0C" w:rsidP="00381F0C">
      <w:pPr>
        <w:ind w:left="2160" w:right="47" w:hanging="2160"/>
        <w:rPr>
          <w:rFonts w:cs="Arial"/>
          <w:b/>
          <w:bCs/>
          <w:sz w:val="16"/>
          <w:szCs w:val="16"/>
        </w:rPr>
      </w:pPr>
    </w:p>
    <w:p w:rsidR="00381F0C" w:rsidRPr="00655C0E" w:rsidRDefault="00381F0C" w:rsidP="00381F0C">
      <w:pPr>
        <w:ind w:left="2160" w:right="47" w:hanging="2160"/>
        <w:rPr>
          <w:rFonts w:cs="Arial"/>
          <w:bCs/>
          <w:sz w:val="22"/>
          <w:szCs w:val="22"/>
        </w:rPr>
      </w:pPr>
      <w:r>
        <w:rPr>
          <w:rFonts w:cs="Arial"/>
          <w:b/>
          <w:bCs/>
          <w:sz w:val="22"/>
          <w:szCs w:val="22"/>
        </w:rPr>
        <w:tab/>
      </w:r>
      <w:r>
        <w:rPr>
          <w:rFonts w:cs="Arial"/>
          <w:bCs/>
          <w:sz w:val="22"/>
          <w:szCs w:val="22"/>
        </w:rPr>
        <w:t>None stated</w:t>
      </w:r>
    </w:p>
    <w:sectPr w:rsidR="00381F0C" w:rsidRPr="00655C0E" w:rsidSect="00D3194A">
      <w:footerReference w:type="default" r:id="rId9"/>
      <w:pgSz w:w="11909" w:h="16834" w:code="9"/>
      <w:pgMar w:top="720" w:right="1080" w:bottom="720" w:left="1152" w:header="706" w:footer="706"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F48" w:rsidRDefault="00394F48">
      <w:r>
        <w:separator/>
      </w:r>
    </w:p>
  </w:endnote>
  <w:endnote w:type="continuationSeparator" w:id="0">
    <w:p w:rsidR="00394F48" w:rsidRDefault="0039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094202"/>
      <w:docPartObj>
        <w:docPartGallery w:val="Page Numbers (Bottom of Page)"/>
        <w:docPartUnique/>
      </w:docPartObj>
    </w:sdtPr>
    <w:sdtEndPr>
      <w:rPr>
        <w:noProof/>
      </w:rPr>
    </w:sdtEndPr>
    <w:sdtContent>
      <w:p w:rsidR="00394F48" w:rsidRDefault="00394F48">
        <w:pPr>
          <w:pStyle w:val="Footer"/>
          <w:jc w:val="center"/>
          <w:rPr>
            <w:noProof/>
          </w:rPr>
        </w:pPr>
        <w:r>
          <w:fldChar w:fldCharType="begin"/>
        </w:r>
        <w:r>
          <w:instrText xml:space="preserve"> PAGE   \* MERGEFORMAT </w:instrText>
        </w:r>
        <w:r>
          <w:fldChar w:fldCharType="separate"/>
        </w:r>
        <w:r w:rsidR="00A41E84">
          <w:rPr>
            <w:noProof/>
          </w:rPr>
          <w:t>- 8 -</w:t>
        </w:r>
        <w:r>
          <w:rPr>
            <w:noProof/>
          </w:rPr>
          <w:fldChar w:fldCharType="end"/>
        </w:r>
      </w:p>
      <w:p w:rsidR="00394F48" w:rsidRDefault="00A41E84">
        <w:pPr>
          <w:pStyle w:val="Footer"/>
          <w:jc w:val="center"/>
        </w:pPr>
      </w:p>
    </w:sdtContent>
  </w:sdt>
  <w:p w:rsidR="00394F48" w:rsidRDefault="00394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F48" w:rsidRDefault="00394F48">
      <w:r>
        <w:separator/>
      </w:r>
    </w:p>
  </w:footnote>
  <w:footnote w:type="continuationSeparator" w:id="0">
    <w:p w:rsidR="00394F48" w:rsidRDefault="00394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1A9"/>
    <w:multiLevelType w:val="hybridMultilevel"/>
    <w:tmpl w:val="E0E67C1A"/>
    <w:lvl w:ilvl="0" w:tplc="6158E2D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5F42082"/>
    <w:multiLevelType w:val="multilevel"/>
    <w:tmpl w:val="83B08AD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0D0D67AA"/>
    <w:multiLevelType w:val="multilevel"/>
    <w:tmpl w:val="4C5843F6"/>
    <w:lvl w:ilvl="0">
      <w:start w:val="1"/>
      <w:numFmt w:val="decimal"/>
      <w:pStyle w:val="Mainnumber"/>
      <w:lvlText w:val="%1."/>
      <w:lvlJc w:val="left"/>
      <w:pPr>
        <w:tabs>
          <w:tab w:val="num" w:pos="737"/>
        </w:tabs>
        <w:ind w:left="737" w:hanging="737"/>
      </w:pPr>
      <w:rPr>
        <w:rFonts w:ascii="Arial" w:hAnsi="Arial" w:hint="default"/>
        <w:b/>
        <w:i w:val="0"/>
        <w:strike w:val="0"/>
        <w:dstrike w:val="0"/>
        <w:vanish w:val="0"/>
        <w:color w:val="000000"/>
        <w:sz w:val="24"/>
        <w:vertAlign w:val="baseline"/>
      </w:rPr>
    </w:lvl>
    <w:lvl w:ilvl="1">
      <w:start w:val="1"/>
      <w:numFmt w:val="decimal"/>
      <w:pStyle w:val="Subnumber"/>
      <w:lvlText w:val="%1.%2"/>
      <w:lvlJc w:val="left"/>
      <w:pPr>
        <w:tabs>
          <w:tab w:val="num" w:pos="737"/>
        </w:tabs>
        <w:ind w:left="737" w:hanging="737"/>
      </w:pPr>
      <w:rPr>
        <w:rFonts w:ascii="Arial" w:hAnsi="Arial" w:hint="default"/>
        <w:b w:val="0"/>
        <w:i w:val="0"/>
        <w:caps w:val="0"/>
        <w:strike w:val="0"/>
        <w:dstrike w:val="0"/>
        <w:vanish w:val="0"/>
        <w:color w:val="auto"/>
        <w:sz w:val="24"/>
        <w:vertAlign w:val="baseline"/>
      </w:rPr>
    </w:lvl>
    <w:lvl w:ilvl="2">
      <w:start w:val="1"/>
      <w:numFmt w:val="lowerLetter"/>
      <w:lvlText w:val="(%3)"/>
      <w:lvlJc w:val="left"/>
      <w:pPr>
        <w:tabs>
          <w:tab w:val="num" w:pos="1304"/>
        </w:tabs>
        <w:ind w:left="1304" w:hanging="567"/>
      </w:pPr>
      <w:rPr>
        <w:rFonts w:ascii="Arial" w:hAnsi="Arial" w:hint="default"/>
        <w:b w:val="0"/>
        <w:i w:val="0"/>
        <w:caps w:val="0"/>
        <w:strike w:val="0"/>
        <w:dstrike w:val="0"/>
        <w:vanish w:val="0"/>
        <w:color w:val="000000"/>
        <w:sz w:val="24"/>
        <w:vertAlign w:val="baseline"/>
      </w:rPr>
    </w:lvl>
    <w:lvl w:ilvl="3">
      <w:start w:val="1"/>
      <w:numFmt w:val="lowerRoman"/>
      <w:lvlText w:val="%4)"/>
      <w:lvlJc w:val="left"/>
      <w:pPr>
        <w:tabs>
          <w:tab w:val="num" w:pos="2024"/>
        </w:tabs>
        <w:ind w:left="1871" w:hanging="567"/>
      </w:pPr>
      <w:rPr>
        <w:rFonts w:ascii="Arial" w:hAnsi="Arial" w:hint="default"/>
        <w:b w:val="0"/>
        <w:i w:val="0"/>
        <w:caps w:val="0"/>
        <w:strike w:val="0"/>
        <w:dstrike w:val="0"/>
        <w:vanish w:val="0"/>
        <w:sz w:val="24"/>
        <w:vertAlign w:val="baseli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18721E4"/>
    <w:multiLevelType w:val="multilevel"/>
    <w:tmpl w:val="10E44B90"/>
    <w:lvl w:ilvl="0">
      <w:start w:val="1"/>
      <w:numFmt w:val="decimal"/>
      <w:lvlText w:val="%1."/>
      <w:lvlJc w:val="left"/>
      <w:pPr>
        <w:ind w:left="1455" w:hanging="735"/>
      </w:pPr>
      <w:rPr>
        <w:b w:val="0"/>
      </w:rPr>
    </w:lvl>
    <w:lvl w:ilvl="1">
      <w:start w:val="6"/>
      <w:numFmt w:val="decimal"/>
      <w:isLgl/>
      <w:lvlText w:val="%1.%2"/>
      <w:lvlJc w:val="left"/>
      <w:pPr>
        <w:ind w:left="1080" w:hanging="360"/>
      </w:pPr>
    </w:lvl>
    <w:lvl w:ilvl="2">
      <w:start w:val="2"/>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
    <w:nsid w:val="166423D5"/>
    <w:multiLevelType w:val="hybridMultilevel"/>
    <w:tmpl w:val="B36E14AA"/>
    <w:lvl w:ilvl="0" w:tplc="4C746D8A">
      <w:start w:val="1"/>
      <w:numFmt w:val="decimal"/>
      <w:lvlText w:val="%1."/>
      <w:lvlJc w:val="left"/>
      <w:pPr>
        <w:ind w:left="1455" w:hanging="735"/>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nsid w:val="17FE13AE"/>
    <w:multiLevelType w:val="hybridMultilevel"/>
    <w:tmpl w:val="463CB9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nsid w:val="1C966805"/>
    <w:multiLevelType w:val="multilevel"/>
    <w:tmpl w:val="9AEA6A6C"/>
    <w:lvl w:ilvl="0">
      <w:start w:val="2"/>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18D62F8"/>
    <w:multiLevelType w:val="multilevel"/>
    <w:tmpl w:val="D540758E"/>
    <w:lvl w:ilvl="0">
      <w:start w:val="1"/>
      <w:numFmt w:val="none"/>
      <w:pStyle w:val="Subtitl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55E38A3"/>
    <w:multiLevelType w:val="multilevel"/>
    <w:tmpl w:val="E4702456"/>
    <w:lvl w:ilvl="0">
      <w:start w:val="1"/>
      <w:numFmt w:val="decimal"/>
      <w:lvlText w:val="%1"/>
      <w:lvlJc w:val="left"/>
      <w:pPr>
        <w:ind w:left="360" w:hanging="360"/>
      </w:pPr>
      <w:rPr>
        <w:rFonts w:ascii="Helv" w:hAnsi="Helv" w:hint="default"/>
        <w:color w:val="000000"/>
      </w:rPr>
    </w:lvl>
    <w:lvl w:ilvl="1">
      <w:start w:val="1"/>
      <w:numFmt w:val="decimal"/>
      <w:lvlText w:val="%1.%2"/>
      <w:lvlJc w:val="left"/>
      <w:pPr>
        <w:ind w:left="1080" w:hanging="360"/>
      </w:pPr>
      <w:rPr>
        <w:rFonts w:ascii="Helv" w:hAnsi="Helv" w:hint="default"/>
        <w:color w:val="000000"/>
      </w:rPr>
    </w:lvl>
    <w:lvl w:ilvl="2">
      <w:start w:val="1"/>
      <w:numFmt w:val="decimal"/>
      <w:lvlText w:val="%1.%2.%3"/>
      <w:lvlJc w:val="left"/>
      <w:pPr>
        <w:ind w:left="2160" w:hanging="720"/>
      </w:pPr>
      <w:rPr>
        <w:rFonts w:ascii="Helv" w:hAnsi="Helv" w:hint="default"/>
        <w:color w:val="000000"/>
      </w:rPr>
    </w:lvl>
    <w:lvl w:ilvl="3">
      <w:start w:val="1"/>
      <w:numFmt w:val="decimal"/>
      <w:lvlText w:val="%1.%2.%3.%4"/>
      <w:lvlJc w:val="left"/>
      <w:pPr>
        <w:ind w:left="2880" w:hanging="720"/>
      </w:pPr>
      <w:rPr>
        <w:rFonts w:ascii="Helv" w:hAnsi="Helv" w:hint="default"/>
        <w:color w:val="000000"/>
      </w:rPr>
    </w:lvl>
    <w:lvl w:ilvl="4">
      <w:start w:val="1"/>
      <w:numFmt w:val="decimal"/>
      <w:lvlText w:val="%1.%2.%3.%4.%5"/>
      <w:lvlJc w:val="left"/>
      <w:pPr>
        <w:ind w:left="3960" w:hanging="1080"/>
      </w:pPr>
      <w:rPr>
        <w:rFonts w:ascii="Helv" w:hAnsi="Helv" w:hint="default"/>
        <w:color w:val="000000"/>
      </w:rPr>
    </w:lvl>
    <w:lvl w:ilvl="5">
      <w:start w:val="1"/>
      <w:numFmt w:val="decimal"/>
      <w:lvlText w:val="%1.%2.%3.%4.%5.%6"/>
      <w:lvlJc w:val="left"/>
      <w:pPr>
        <w:ind w:left="4680" w:hanging="1080"/>
      </w:pPr>
      <w:rPr>
        <w:rFonts w:ascii="Helv" w:hAnsi="Helv" w:hint="default"/>
        <w:color w:val="000000"/>
      </w:rPr>
    </w:lvl>
    <w:lvl w:ilvl="6">
      <w:start w:val="1"/>
      <w:numFmt w:val="decimal"/>
      <w:lvlText w:val="%1.%2.%3.%4.%5.%6.%7"/>
      <w:lvlJc w:val="left"/>
      <w:pPr>
        <w:ind w:left="5760" w:hanging="1440"/>
      </w:pPr>
      <w:rPr>
        <w:rFonts w:ascii="Helv" w:hAnsi="Helv" w:hint="default"/>
        <w:color w:val="000000"/>
      </w:rPr>
    </w:lvl>
    <w:lvl w:ilvl="7">
      <w:start w:val="1"/>
      <w:numFmt w:val="decimal"/>
      <w:lvlText w:val="%1.%2.%3.%4.%5.%6.%7.%8"/>
      <w:lvlJc w:val="left"/>
      <w:pPr>
        <w:ind w:left="6480" w:hanging="1440"/>
      </w:pPr>
      <w:rPr>
        <w:rFonts w:ascii="Helv" w:hAnsi="Helv" w:hint="default"/>
        <w:color w:val="000000"/>
      </w:rPr>
    </w:lvl>
    <w:lvl w:ilvl="8">
      <w:start w:val="1"/>
      <w:numFmt w:val="decimal"/>
      <w:lvlText w:val="%1.%2.%3.%4.%5.%6.%7.%8.%9"/>
      <w:lvlJc w:val="left"/>
      <w:pPr>
        <w:ind w:left="7560" w:hanging="1800"/>
      </w:pPr>
      <w:rPr>
        <w:rFonts w:ascii="Helv" w:hAnsi="Helv" w:hint="default"/>
        <w:color w:val="000000"/>
      </w:rPr>
    </w:lvl>
  </w:abstractNum>
  <w:abstractNum w:abstractNumId="9">
    <w:nsid w:val="25DE5EA2"/>
    <w:multiLevelType w:val="hybridMultilevel"/>
    <w:tmpl w:val="A0E63B7A"/>
    <w:lvl w:ilvl="0" w:tplc="0F06BEA0">
      <w:start w:val="3"/>
      <w:numFmt w:val="bullet"/>
      <w:lvlText w:val="-"/>
      <w:lvlJc w:val="left"/>
      <w:pPr>
        <w:ind w:left="1069" w:hanging="360"/>
      </w:pPr>
      <w:rPr>
        <w:rFonts w:ascii="Arial" w:eastAsia="Times New Roman" w:hAnsi="Arial" w:cs="Aria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0">
    <w:nsid w:val="2602589F"/>
    <w:multiLevelType w:val="hybridMultilevel"/>
    <w:tmpl w:val="1DE05E3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1">
    <w:nsid w:val="26C3310D"/>
    <w:multiLevelType w:val="hybridMultilevel"/>
    <w:tmpl w:val="13C4B67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2">
    <w:nsid w:val="27DD13EB"/>
    <w:multiLevelType w:val="multilevel"/>
    <w:tmpl w:val="AEC44184"/>
    <w:lvl w:ilvl="0">
      <w:start w:val="2"/>
      <w:numFmt w:val="decimal"/>
      <w:lvlText w:val="%1"/>
      <w:lvlJc w:val="left"/>
      <w:pPr>
        <w:ind w:left="375" w:hanging="375"/>
      </w:pPr>
    </w:lvl>
    <w:lvl w:ilvl="1">
      <w:start w:val="10"/>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9D1044E"/>
    <w:multiLevelType w:val="multilevel"/>
    <w:tmpl w:val="10E44B90"/>
    <w:lvl w:ilvl="0">
      <w:start w:val="1"/>
      <w:numFmt w:val="decimal"/>
      <w:lvlText w:val="%1."/>
      <w:lvlJc w:val="left"/>
      <w:pPr>
        <w:ind w:left="1455" w:hanging="735"/>
      </w:pPr>
      <w:rPr>
        <w:b w:val="0"/>
      </w:rPr>
    </w:lvl>
    <w:lvl w:ilvl="1">
      <w:start w:val="6"/>
      <w:numFmt w:val="decimal"/>
      <w:isLgl/>
      <w:lvlText w:val="%1.%2"/>
      <w:lvlJc w:val="left"/>
      <w:pPr>
        <w:ind w:left="1080" w:hanging="360"/>
      </w:pPr>
    </w:lvl>
    <w:lvl w:ilvl="2">
      <w:start w:val="2"/>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4">
    <w:nsid w:val="2A123AA8"/>
    <w:multiLevelType w:val="multilevel"/>
    <w:tmpl w:val="1D08111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nsid w:val="30FD07CA"/>
    <w:multiLevelType w:val="hybridMultilevel"/>
    <w:tmpl w:val="315E2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2E531E7"/>
    <w:multiLevelType w:val="hybridMultilevel"/>
    <w:tmpl w:val="0E3A0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CA017FA"/>
    <w:multiLevelType w:val="multilevel"/>
    <w:tmpl w:val="50FA00C4"/>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8">
    <w:nsid w:val="3CAD7C82"/>
    <w:multiLevelType w:val="multilevel"/>
    <w:tmpl w:val="BDFC159A"/>
    <w:lvl w:ilvl="0">
      <w:start w:val="1"/>
      <w:numFmt w:val="bullet"/>
      <w:pStyle w:val="EYBulletedtext1"/>
      <w:lvlText w:val=""/>
      <w:lvlJc w:val="left"/>
      <w:pPr>
        <w:tabs>
          <w:tab w:val="num" w:pos="425"/>
        </w:tabs>
        <w:ind w:left="425" w:hanging="425"/>
      </w:pPr>
      <w:rPr>
        <w:rFonts w:ascii="Wingdings 3" w:hAnsi="Wingdings 3" w:hint="default"/>
        <w:color w:val="auto"/>
        <w:szCs w:val="24"/>
      </w:rPr>
    </w:lvl>
    <w:lvl w:ilvl="1">
      <w:start w:val="1"/>
      <w:numFmt w:val="bullet"/>
      <w:pStyle w:val="EYBulletedtext2"/>
      <w:lvlText w:val=""/>
      <w:lvlJc w:val="left"/>
      <w:pPr>
        <w:tabs>
          <w:tab w:val="num" w:pos="851"/>
        </w:tabs>
        <w:ind w:left="851" w:hanging="426"/>
      </w:pPr>
      <w:rPr>
        <w:rFonts w:ascii="Wingdings 3" w:hAnsi="Wingdings 3" w:hint="default"/>
        <w:color w:val="auto"/>
        <w:szCs w:val="24"/>
      </w:rPr>
    </w:lvl>
    <w:lvl w:ilvl="2">
      <w:start w:val="1"/>
      <w:numFmt w:val="bullet"/>
      <w:pStyle w:val="EYBulletedtext3"/>
      <w:lvlText w:val=""/>
      <w:lvlJc w:val="left"/>
      <w:pPr>
        <w:tabs>
          <w:tab w:val="num" w:pos="1276"/>
        </w:tabs>
        <w:ind w:left="1276" w:hanging="425"/>
      </w:pPr>
      <w:rPr>
        <w:rFonts w:ascii="Wingdings 3" w:hAnsi="Wingdings 3" w:hint="default"/>
        <w:color w:val="auto"/>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19">
    <w:nsid w:val="40861E46"/>
    <w:multiLevelType w:val="hybridMultilevel"/>
    <w:tmpl w:val="8B2450D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0">
    <w:nsid w:val="45A04196"/>
    <w:multiLevelType w:val="multilevel"/>
    <w:tmpl w:val="A358FE96"/>
    <w:lvl w:ilvl="0">
      <w:start w:val="1"/>
      <w:numFmt w:val="decimal"/>
      <w:pStyle w:val="ChapterHeading"/>
      <w:lvlText w:val="%1"/>
      <w:lvlJc w:val="left"/>
      <w:pPr>
        <w:ind w:left="360" w:hanging="360"/>
      </w:pPr>
      <w:rPr>
        <w:rFonts w:cs="Times New Roman" w:hint="default"/>
        <w:b/>
        <w:color w:val="auto"/>
      </w:rPr>
    </w:lvl>
    <w:lvl w:ilvl="1">
      <w:start w:val="1"/>
      <w:numFmt w:val="decimal"/>
      <w:pStyle w:val="Subheading"/>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1">
    <w:nsid w:val="47072372"/>
    <w:multiLevelType w:val="hybridMultilevel"/>
    <w:tmpl w:val="243C6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F1B1658"/>
    <w:multiLevelType w:val="hybridMultilevel"/>
    <w:tmpl w:val="982AF1EC"/>
    <w:lvl w:ilvl="0" w:tplc="E35A83DA">
      <w:start w:val="1"/>
      <w:numFmt w:val="bullet"/>
      <w:lvlText w:val=""/>
      <w:lvlJc w:val="left"/>
      <w:pPr>
        <w:tabs>
          <w:tab w:val="num" w:pos="1440"/>
        </w:tabs>
        <w:ind w:left="144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03A0C72"/>
    <w:multiLevelType w:val="hybridMultilevel"/>
    <w:tmpl w:val="A0E88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0576D06"/>
    <w:multiLevelType w:val="hybridMultilevel"/>
    <w:tmpl w:val="7AA0BF5E"/>
    <w:lvl w:ilvl="0" w:tplc="08090017">
      <w:start w:val="1"/>
      <w:numFmt w:val="lowerLetter"/>
      <w:lvlText w:val="%1)"/>
      <w:lvlJc w:val="left"/>
      <w:pPr>
        <w:ind w:left="54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517B293F"/>
    <w:multiLevelType w:val="multilevel"/>
    <w:tmpl w:val="2A66DEC2"/>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61D1549E"/>
    <w:multiLevelType w:val="hybridMultilevel"/>
    <w:tmpl w:val="D376F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9011857"/>
    <w:multiLevelType w:val="hybridMultilevel"/>
    <w:tmpl w:val="DDACC03A"/>
    <w:lvl w:ilvl="0" w:tplc="08090001">
      <w:start w:val="1"/>
      <w:numFmt w:val="bullet"/>
      <w:lvlText w:val=""/>
      <w:lvlJc w:val="left"/>
      <w:pPr>
        <w:ind w:left="720" w:hanging="360"/>
      </w:pPr>
      <w:rPr>
        <w:rFonts w:ascii="Symbol" w:hAnsi="Symbol" w:hint="default"/>
      </w:rPr>
    </w:lvl>
    <w:lvl w:ilvl="1" w:tplc="08090003" w:tentative="1">
      <w:start w:val="1"/>
      <w:numFmt w:val="bullet"/>
      <w:pStyle w:val="Heading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31632B"/>
    <w:multiLevelType w:val="hybridMultilevel"/>
    <w:tmpl w:val="74F44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77386C3F"/>
    <w:multiLevelType w:val="multilevel"/>
    <w:tmpl w:val="18E8C5CA"/>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nsid w:val="7E1C4FFD"/>
    <w:multiLevelType w:val="multilevel"/>
    <w:tmpl w:val="A760932E"/>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7F2A54C7"/>
    <w:multiLevelType w:val="hybridMultilevel"/>
    <w:tmpl w:val="1E564F74"/>
    <w:lvl w:ilvl="0" w:tplc="08090001">
      <w:start w:val="1"/>
      <w:numFmt w:val="bullet"/>
      <w:lvlText w:val=""/>
      <w:lvlJc w:val="left"/>
      <w:pPr>
        <w:ind w:left="5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
  </w:num>
  <w:num w:numId="4">
    <w:abstractNumId w:val="27"/>
  </w:num>
  <w:num w:numId="5">
    <w:abstractNumId w:val="17"/>
  </w:num>
  <w:num w:numId="6">
    <w:abstractNumId w:val="1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3"/>
  </w:num>
  <w:num w:numId="18">
    <w:abstractNumId w:val="16"/>
  </w:num>
  <w:num w:numId="19">
    <w:abstractNumId w:val="15"/>
  </w:num>
  <w:num w:numId="20">
    <w:abstractNumId w:val="28"/>
  </w:num>
  <w:num w:numId="21">
    <w:abstractNumId w:val="9"/>
  </w:num>
  <w:num w:numId="22">
    <w:abstractNumId w:val="0"/>
  </w:num>
  <w:num w:numId="23">
    <w:abstractNumId w:val="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1"/>
  </w:num>
  <w:num w:numId="27">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2"/>
  </w:num>
  <w:num w:numId="30">
    <w:abstractNumId w:val="2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AF1"/>
    <w:rsid w:val="0000088B"/>
    <w:rsid w:val="000010B1"/>
    <w:rsid w:val="00001136"/>
    <w:rsid w:val="00001BEB"/>
    <w:rsid w:val="0000387F"/>
    <w:rsid w:val="00004585"/>
    <w:rsid w:val="000046B0"/>
    <w:rsid w:val="00004E69"/>
    <w:rsid w:val="000058C9"/>
    <w:rsid w:val="00005FF5"/>
    <w:rsid w:val="00007093"/>
    <w:rsid w:val="00010784"/>
    <w:rsid w:val="000116BC"/>
    <w:rsid w:val="00013E9F"/>
    <w:rsid w:val="00014D51"/>
    <w:rsid w:val="0002026B"/>
    <w:rsid w:val="00020F24"/>
    <w:rsid w:val="00021172"/>
    <w:rsid w:val="00021A9B"/>
    <w:rsid w:val="00022451"/>
    <w:rsid w:val="00022D9A"/>
    <w:rsid w:val="00022E1B"/>
    <w:rsid w:val="00023075"/>
    <w:rsid w:val="000231E4"/>
    <w:rsid w:val="0002521F"/>
    <w:rsid w:val="00025528"/>
    <w:rsid w:val="00026690"/>
    <w:rsid w:val="00027425"/>
    <w:rsid w:val="000276B7"/>
    <w:rsid w:val="00027936"/>
    <w:rsid w:val="00030A3E"/>
    <w:rsid w:val="00031961"/>
    <w:rsid w:val="00032169"/>
    <w:rsid w:val="0003248A"/>
    <w:rsid w:val="000331B9"/>
    <w:rsid w:val="0003448E"/>
    <w:rsid w:val="00035328"/>
    <w:rsid w:val="000368F0"/>
    <w:rsid w:val="00036E65"/>
    <w:rsid w:val="00037722"/>
    <w:rsid w:val="000420C9"/>
    <w:rsid w:val="00042AA3"/>
    <w:rsid w:val="00042CE8"/>
    <w:rsid w:val="00043356"/>
    <w:rsid w:val="0004669F"/>
    <w:rsid w:val="00047ED5"/>
    <w:rsid w:val="00050FD5"/>
    <w:rsid w:val="000538FF"/>
    <w:rsid w:val="00055066"/>
    <w:rsid w:val="0005536B"/>
    <w:rsid w:val="00055758"/>
    <w:rsid w:val="00060CA4"/>
    <w:rsid w:val="00060D94"/>
    <w:rsid w:val="00060EE9"/>
    <w:rsid w:val="000612FE"/>
    <w:rsid w:val="000616BB"/>
    <w:rsid w:val="00063F3E"/>
    <w:rsid w:val="00064113"/>
    <w:rsid w:val="000670FF"/>
    <w:rsid w:val="000735C3"/>
    <w:rsid w:val="00073E88"/>
    <w:rsid w:val="00080B6A"/>
    <w:rsid w:val="0008485D"/>
    <w:rsid w:val="00084FB5"/>
    <w:rsid w:val="00086D45"/>
    <w:rsid w:val="0008735F"/>
    <w:rsid w:val="00087C16"/>
    <w:rsid w:val="00087D69"/>
    <w:rsid w:val="00091799"/>
    <w:rsid w:val="00091F6F"/>
    <w:rsid w:val="0009283B"/>
    <w:rsid w:val="00092F06"/>
    <w:rsid w:val="00093226"/>
    <w:rsid w:val="000932BE"/>
    <w:rsid w:val="00094F86"/>
    <w:rsid w:val="000A153C"/>
    <w:rsid w:val="000A160C"/>
    <w:rsid w:val="000A26E0"/>
    <w:rsid w:val="000A33BC"/>
    <w:rsid w:val="000A4529"/>
    <w:rsid w:val="000A5AB5"/>
    <w:rsid w:val="000B1272"/>
    <w:rsid w:val="000B1FF0"/>
    <w:rsid w:val="000B7232"/>
    <w:rsid w:val="000B7C85"/>
    <w:rsid w:val="000C1369"/>
    <w:rsid w:val="000C394B"/>
    <w:rsid w:val="000C3B4A"/>
    <w:rsid w:val="000C3F80"/>
    <w:rsid w:val="000C450A"/>
    <w:rsid w:val="000C54B2"/>
    <w:rsid w:val="000D1E1B"/>
    <w:rsid w:val="000D202B"/>
    <w:rsid w:val="000D20A5"/>
    <w:rsid w:val="000D22E5"/>
    <w:rsid w:val="000D3734"/>
    <w:rsid w:val="000D44CA"/>
    <w:rsid w:val="000D4976"/>
    <w:rsid w:val="000D6154"/>
    <w:rsid w:val="000D62B4"/>
    <w:rsid w:val="000D6CD3"/>
    <w:rsid w:val="000D725F"/>
    <w:rsid w:val="000D7A29"/>
    <w:rsid w:val="000E08F7"/>
    <w:rsid w:val="000E3391"/>
    <w:rsid w:val="000E341B"/>
    <w:rsid w:val="000E3673"/>
    <w:rsid w:val="000E412E"/>
    <w:rsid w:val="000E43F2"/>
    <w:rsid w:val="000E48B6"/>
    <w:rsid w:val="000E56E4"/>
    <w:rsid w:val="000E699A"/>
    <w:rsid w:val="000E752C"/>
    <w:rsid w:val="000F1B48"/>
    <w:rsid w:val="000F2EB0"/>
    <w:rsid w:val="000F5D6F"/>
    <w:rsid w:val="001007E6"/>
    <w:rsid w:val="0010126D"/>
    <w:rsid w:val="001037D9"/>
    <w:rsid w:val="0010404C"/>
    <w:rsid w:val="001043FF"/>
    <w:rsid w:val="00104E0A"/>
    <w:rsid w:val="0010546A"/>
    <w:rsid w:val="00110C51"/>
    <w:rsid w:val="00110CA4"/>
    <w:rsid w:val="001118AF"/>
    <w:rsid w:val="00112B49"/>
    <w:rsid w:val="0011653F"/>
    <w:rsid w:val="00116C95"/>
    <w:rsid w:val="00117C48"/>
    <w:rsid w:val="001206A2"/>
    <w:rsid w:val="00120E95"/>
    <w:rsid w:val="001230CB"/>
    <w:rsid w:val="00124BF2"/>
    <w:rsid w:val="00124D2D"/>
    <w:rsid w:val="0012605A"/>
    <w:rsid w:val="00126A8B"/>
    <w:rsid w:val="00127C1C"/>
    <w:rsid w:val="00131637"/>
    <w:rsid w:val="00132236"/>
    <w:rsid w:val="001328A2"/>
    <w:rsid w:val="00133013"/>
    <w:rsid w:val="001331AB"/>
    <w:rsid w:val="00133AEA"/>
    <w:rsid w:val="00133F3A"/>
    <w:rsid w:val="0013777B"/>
    <w:rsid w:val="00141555"/>
    <w:rsid w:val="001419E5"/>
    <w:rsid w:val="001424A5"/>
    <w:rsid w:val="00143495"/>
    <w:rsid w:val="00144A0F"/>
    <w:rsid w:val="00144C6C"/>
    <w:rsid w:val="00145012"/>
    <w:rsid w:val="00145FC0"/>
    <w:rsid w:val="0014640B"/>
    <w:rsid w:val="001471B6"/>
    <w:rsid w:val="00150DBA"/>
    <w:rsid w:val="0015125C"/>
    <w:rsid w:val="00151362"/>
    <w:rsid w:val="00151AD8"/>
    <w:rsid w:val="00151C46"/>
    <w:rsid w:val="00153958"/>
    <w:rsid w:val="001558B8"/>
    <w:rsid w:val="00155D44"/>
    <w:rsid w:val="00155D4D"/>
    <w:rsid w:val="0015600D"/>
    <w:rsid w:val="0016084C"/>
    <w:rsid w:val="00160C8D"/>
    <w:rsid w:val="001635CB"/>
    <w:rsid w:val="00166D97"/>
    <w:rsid w:val="00166E30"/>
    <w:rsid w:val="00166E5A"/>
    <w:rsid w:val="001703BE"/>
    <w:rsid w:val="00171ABD"/>
    <w:rsid w:val="0017248E"/>
    <w:rsid w:val="00172985"/>
    <w:rsid w:val="00173219"/>
    <w:rsid w:val="00174443"/>
    <w:rsid w:val="00174C1E"/>
    <w:rsid w:val="00175193"/>
    <w:rsid w:val="00182C6F"/>
    <w:rsid w:val="00183BF5"/>
    <w:rsid w:val="00184856"/>
    <w:rsid w:val="001858EC"/>
    <w:rsid w:val="00185A38"/>
    <w:rsid w:val="00186691"/>
    <w:rsid w:val="00186E35"/>
    <w:rsid w:val="00186F64"/>
    <w:rsid w:val="001877BA"/>
    <w:rsid w:val="001902B5"/>
    <w:rsid w:val="00190B1F"/>
    <w:rsid w:val="001922C8"/>
    <w:rsid w:val="00192585"/>
    <w:rsid w:val="0019261A"/>
    <w:rsid w:val="001A1C14"/>
    <w:rsid w:val="001A2692"/>
    <w:rsid w:val="001A5D26"/>
    <w:rsid w:val="001B022D"/>
    <w:rsid w:val="001B063F"/>
    <w:rsid w:val="001B0FCE"/>
    <w:rsid w:val="001B19E1"/>
    <w:rsid w:val="001B1B34"/>
    <w:rsid w:val="001B280D"/>
    <w:rsid w:val="001B3947"/>
    <w:rsid w:val="001B3EF7"/>
    <w:rsid w:val="001B3F50"/>
    <w:rsid w:val="001B4207"/>
    <w:rsid w:val="001B576D"/>
    <w:rsid w:val="001B622B"/>
    <w:rsid w:val="001B7429"/>
    <w:rsid w:val="001C0F4F"/>
    <w:rsid w:val="001C1130"/>
    <w:rsid w:val="001C1875"/>
    <w:rsid w:val="001C2FE1"/>
    <w:rsid w:val="001C3222"/>
    <w:rsid w:val="001C3E34"/>
    <w:rsid w:val="001C5C3A"/>
    <w:rsid w:val="001D13B6"/>
    <w:rsid w:val="001D1E77"/>
    <w:rsid w:val="001D37FC"/>
    <w:rsid w:val="001D434E"/>
    <w:rsid w:val="001D5470"/>
    <w:rsid w:val="001E0782"/>
    <w:rsid w:val="001E1967"/>
    <w:rsid w:val="001E2CEC"/>
    <w:rsid w:val="001E3951"/>
    <w:rsid w:val="001E3986"/>
    <w:rsid w:val="001E4625"/>
    <w:rsid w:val="001E5DBE"/>
    <w:rsid w:val="001E6B62"/>
    <w:rsid w:val="001E6E56"/>
    <w:rsid w:val="001F0303"/>
    <w:rsid w:val="001F0843"/>
    <w:rsid w:val="001F1C27"/>
    <w:rsid w:val="002006FE"/>
    <w:rsid w:val="0020083E"/>
    <w:rsid w:val="00202963"/>
    <w:rsid w:val="00202C94"/>
    <w:rsid w:val="002043E3"/>
    <w:rsid w:val="00204834"/>
    <w:rsid w:val="00207DA1"/>
    <w:rsid w:val="00207EC6"/>
    <w:rsid w:val="00210A68"/>
    <w:rsid w:val="0021287B"/>
    <w:rsid w:val="00213F11"/>
    <w:rsid w:val="002146F5"/>
    <w:rsid w:val="00215B52"/>
    <w:rsid w:val="00217323"/>
    <w:rsid w:val="00220BAA"/>
    <w:rsid w:val="00220E9F"/>
    <w:rsid w:val="0022111A"/>
    <w:rsid w:val="002218EB"/>
    <w:rsid w:val="002219B7"/>
    <w:rsid w:val="0022291F"/>
    <w:rsid w:val="002231C8"/>
    <w:rsid w:val="00223A6F"/>
    <w:rsid w:val="00224EF2"/>
    <w:rsid w:val="00225A16"/>
    <w:rsid w:val="00226B8F"/>
    <w:rsid w:val="00227775"/>
    <w:rsid w:val="002303FD"/>
    <w:rsid w:val="00230CF0"/>
    <w:rsid w:val="00230E91"/>
    <w:rsid w:val="00231D80"/>
    <w:rsid w:val="00232986"/>
    <w:rsid w:val="00233C41"/>
    <w:rsid w:val="002366A1"/>
    <w:rsid w:val="002369BE"/>
    <w:rsid w:val="00236D2C"/>
    <w:rsid w:val="002371A1"/>
    <w:rsid w:val="00242DF0"/>
    <w:rsid w:val="00244879"/>
    <w:rsid w:val="002449B4"/>
    <w:rsid w:val="00250907"/>
    <w:rsid w:val="00250FC2"/>
    <w:rsid w:val="0025108C"/>
    <w:rsid w:val="00251A1A"/>
    <w:rsid w:val="00253B80"/>
    <w:rsid w:val="00253BBE"/>
    <w:rsid w:val="00253BD9"/>
    <w:rsid w:val="0025432B"/>
    <w:rsid w:val="00254374"/>
    <w:rsid w:val="00254AFE"/>
    <w:rsid w:val="00255D41"/>
    <w:rsid w:val="002572A7"/>
    <w:rsid w:val="00257B8E"/>
    <w:rsid w:val="00257F6F"/>
    <w:rsid w:val="002615AE"/>
    <w:rsid w:val="0026311B"/>
    <w:rsid w:val="00263FD8"/>
    <w:rsid w:val="00264912"/>
    <w:rsid w:val="00264C62"/>
    <w:rsid w:val="00265345"/>
    <w:rsid w:val="002656E2"/>
    <w:rsid w:val="00265A4B"/>
    <w:rsid w:val="002662E6"/>
    <w:rsid w:val="0026657C"/>
    <w:rsid w:val="002679B5"/>
    <w:rsid w:val="00270A0D"/>
    <w:rsid w:val="00272F9B"/>
    <w:rsid w:val="00274864"/>
    <w:rsid w:val="00276781"/>
    <w:rsid w:val="00277E5F"/>
    <w:rsid w:val="002805A9"/>
    <w:rsid w:val="0028118C"/>
    <w:rsid w:val="002852D3"/>
    <w:rsid w:val="002874AC"/>
    <w:rsid w:val="00287714"/>
    <w:rsid w:val="0029095E"/>
    <w:rsid w:val="00290F42"/>
    <w:rsid w:val="00292228"/>
    <w:rsid w:val="0029507C"/>
    <w:rsid w:val="00295206"/>
    <w:rsid w:val="002977FB"/>
    <w:rsid w:val="002A0809"/>
    <w:rsid w:val="002A2508"/>
    <w:rsid w:val="002A2ABF"/>
    <w:rsid w:val="002A35FA"/>
    <w:rsid w:val="002A458E"/>
    <w:rsid w:val="002B0A0D"/>
    <w:rsid w:val="002B1765"/>
    <w:rsid w:val="002B2181"/>
    <w:rsid w:val="002B22F3"/>
    <w:rsid w:val="002C0D5D"/>
    <w:rsid w:val="002C28E6"/>
    <w:rsid w:val="002C371B"/>
    <w:rsid w:val="002C3C7A"/>
    <w:rsid w:val="002C442C"/>
    <w:rsid w:val="002C514A"/>
    <w:rsid w:val="002C6BF4"/>
    <w:rsid w:val="002C6DC4"/>
    <w:rsid w:val="002C7066"/>
    <w:rsid w:val="002D00DE"/>
    <w:rsid w:val="002D06BE"/>
    <w:rsid w:val="002D08B1"/>
    <w:rsid w:val="002D0D17"/>
    <w:rsid w:val="002D13F8"/>
    <w:rsid w:val="002D4842"/>
    <w:rsid w:val="002D4C34"/>
    <w:rsid w:val="002D5FA1"/>
    <w:rsid w:val="002D7C6A"/>
    <w:rsid w:val="002E174A"/>
    <w:rsid w:val="002E3290"/>
    <w:rsid w:val="002E32B6"/>
    <w:rsid w:val="002E349B"/>
    <w:rsid w:val="002E34D7"/>
    <w:rsid w:val="002E40AC"/>
    <w:rsid w:val="002E5882"/>
    <w:rsid w:val="002E7261"/>
    <w:rsid w:val="002E77ED"/>
    <w:rsid w:val="002F0A29"/>
    <w:rsid w:val="002F31AB"/>
    <w:rsid w:val="002F42FF"/>
    <w:rsid w:val="002F5FB4"/>
    <w:rsid w:val="002F6AD7"/>
    <w:rsid w:val="002F6F48"/>
    <w:rsid w:val="002F71A5"/>
    <w:rsid w:val="00300851"/>
    <w:rsid w:val="0030089E"/>
    <w:rsid w:val="003009E7"/>
    <w:rsid w:val="00301E3F"/>
    <w:rsid w:val="003050AC"/>
    <w:rsid w:val="0031018B"/>
    <w:rsid w:val="00310578"/>
    <w:rsid w:val="0031070E"/>
    <w:rsid w:val="00311426"/>
    <w:rsid w:val="003117CD"/>
    <w:rsid w:val="003129C8"/>
    <w:rsid w:val="00312F2A"/>
    <w:rsid w:val="00314186"/>
    <w:rsid w:val="0031509C"/>
    <w:rsid w:val="00322863"/>
    <w:rsid w:val="00322A41"/>
    <w:rsid w:val="00322C7C"/>
    <w:rsid w:val="00323CAF"/>
    <w:rsid w:val="003241E4"/>
    <w:rsid w:val="00325040"/>
    <w:rsid w:val="00327534"/>
    <w:rsid w:val="00327607"/>
    <w:rsid w:val="00327B31"/>
    <w:rsid w:val="00327CA8"/>
    <w:rsid w:val="00330152"/>
    <w:rsid w:val="003308DC"/>
    <w:rsid w:val="00331600"/>
    <w:rsid w:val="00334215"/>
    <w:rsid w:val="00336A54"/>
    <w:rsid w:val="00337EE0"/>
    <w:rsid w:val="0034074A"/>
    <w:rsid w:val="0034156E"/>
    <w:rsid w:val="0034247F"/>
    <w:rsid w:val="003437E8"/>
    <w:rsid w:val="0034408D"/>
    <w:rsid w:val="003440EF"/>
    <w:rsid w:val="00344E7A"/>
    <w:rsid w:val="00345B0B"/>
    <w:rsid w:val="00346329"/>
    <w:rsid w:val="00346F6C"/>
    <w:rsid w:val="0034783D"/>
    <w:rsid w:val="00347DC8"/>
    <w:rsid w:val="00350A70"/>
    <w:rsid w:val="00353B81"/>
    <w:rsid w:val="00355117"/>
    <w:rsid w:val="003557A9"/>
    <w:rsid w:val="00356099"/>
    <w:rsid w:val="003577EB"/>
    <w:rsid w:val="00360144"/>
    <w:rsid w:val="003603D6"/>
    <w:rsid w:val="00360E7C"/>
    <w:rsid w:val="00361051"/>
    <w:rsid w:val="00363374"/>
    <w:rsid w:val="00365AC1"/>
    <w:rsid w:val="00365DB1"/>
    <w:rsid w:val="00365FD5"/>
    <w:rsid w:val="003663C2"/>
    <w:rsid w:val="003670EC"/>
    <w:rsid w:val="003672CE"/>
    <w:rsid w:val="0037003C"/>
    <w:rsid w:val="00370A78"/>
    <w:rsid w:val="00371BAE"/>
    <w:rsid w:val="003724A3"/>
    <w:rsid w:val="00373A73"/>
    <w:rsid w:val="00373C58"/>
    <w:rsid w:val="00375382"/>
    <w:rsid w:val="00376D29"/>
    <w:rsid w:val="00376F5C"/>
    <w:rsid w:val="00377717"/>
    <w:rsid w:val="00381F0C"/>
    <w:rsid w:val="003854B1"/>
    <w:rsid w:val="0038565D"/>
    <w:rsid w:val="00385E30"/>
    <w:rsid w:val="00390ADA"/>
    <w:rsid w:val="00393E7C"/>
    <w:rsid w:val="003949BA"/>
    <w:rsid w:val="00394EC1"/>
    <w:rsid w:val="00394F48"/>
    <w:rsid w:val="00395178"/>
    <w:rsid w:val="00395B3C"/>
    <w:rsid w:val="00396339"/>
    <w:rsid w:val="003A0636"/>
    <w:rsid w:val="003A0767"/>
    <w:rsid w:val="003A12F2"/>
    <w:rsid w:val="003A313F"/>
    <w:rsid w:val="003A3290"/>
    <w:rsid w:val="003A4708"/>
    <w:rsid w:val="003A5CAC"/>
    <w:rsid w:val="003A6EB0"/>
    <w:rsid w:val="003A7521"/>
    <w:rsid w:val="003B0A55"/>
    <w:rsid w:val="003B193B"/>
    <w:rsid w:val="003B22D6"/>
    <w:rsid w:val="003B2301"/>
    <w:rsid w:val="003C13A1"/>
    <w:rsid w:val="003C1440"/>
    <w:rsid w:val="003C1A62"/>
    <w:rsid w:val="003C206E"/>
    <w:rsid w:val="003C20F0"/>
    <w:rsid w:val="003C2640"/>
    <w:rsid w:val="003C34DA"/>
    <w:rsid w:val="003C38C6"/>
    <w:rsid w:val="003C4958"/>
    <w:rsid w:val="003C692B"/>
    <w:rsid w:val="003C7368"/>
    <w:rsid w:val="003D21D1"/>
    <w:rsid w:val="003D3146"/>
    <w:rsid w:val="003D368B"/>
    <w:rsid w:val="003D6644"/>
    <w:rsid w:val="003D7160"/>
    <w:rsid w:val="003E2104"/>
    <w:rsid w:val="003E2ED3"/>
    <w:rsid w:val="003E380C"/>
    <w:rsid w:val="003E449D"/>
    <w:rsid w:val="003E6294"/>
    <w:rsid w:val="003E66F5"/>
    <w:rsid w:val="003E68EA"/>
    <w:rsid w:val="003E6A9D"/>
    <w:rsid w:val="003E78A0"/>
    <w:rsid w:val="003E7A7E"/>
    <w:rsid w:val="003F0CC9"/>
    <w:rsid w:val="003F0EB7"/>
    <w:rsid w:val="003F159C"/>
    <w:rsid w:val="003F23A7"/>
    <w:rsid w:val="003F283C"/>
    <w:rsid w:val="003F4B13"/>
    <w:rsid w:val="003F4B72"/>
    <w:rsid w:val="003F510E"/>
    <w:rsid w:val="003F63DE"/>
    <w:rsid w:val="003F6A49"/>
    <w:rsid w:val="00400C02"/>
    <w:rsid w:val="004032DB"/>
    <w:rsid w:val="00403D4F"/>
    <w:rsid w:val="004055AA"/>
    <w:rsid w:val="00405C45"/>
    <w:rsid w:val="004111A2"/>
    <w:rsid w:val="00411948"/>
    <w:rsid w:val="00412A18"/>
    <w:rsid w:val="004152FE"/>
    <w:rsid w:val="00415480"/>
    <w:rsid w:val="00416422"/>
    <w:rsid w:val="0041686C"/>
    <w:rsid w:val="004213B3"/>
    <w:rsid w:val="004256A6"/>
    <w:rsid w:val="00425B16"/>
    <w:rsid w:val="0043160E"/>
    <w:rsid w:val="00432334"/>
    <w:rsid w:val="00433302"/>
    <w:rsid w:val="004334F1"/>
    <w:rsid w:val="00433B9D"/>
    <w:rsid w:val="0044108A"/>
    <w:rsid w:val="00441251"/>
    <w:rsid w:val="004419C1"/>
    <w:rsid w:val="00441CBD"/>
    <w:rsid w:val="004421B7"/>
    <w:rsid w:val="00442F18"/>
    <w:rsid w:val="00443CCA"/>
    <w:rsid w:val="004452C7"/>
    <w:rsid w:val="0044692D"/>
    <w:rsid w:val="00446E25"/>
    <w:rsid w:val="00446F8B"/>
    <w:rsid w:val="00450987"/>
    <w:rsid w:val="00450F6D"/>
    <w:rsid w:val="00453276"/>
    <w:rsid w:val="0045640B"/>
    <w:rsid w:val="0046081A"/>
    <w:rsid w:val="00460EF1"/>
    <w:rsid w:val="00461241"/>
    <w:rsid w:val="004618F3"/>
    <w:rsid w:val="0046470E"/>
    <w:rsid w:val="00465284"/>
    <w:rsid w:val="0046658E"/>
    <w:rsid w:val="00467AF1"/>
    <w:rsid w:val="00467BFA"/>
    <w:rsid w:val="00471358"/>
    <w:rsid w:val="004740B1"/>
    <w:rsid w:val="004744B5"/>
    <w:rsid w:val="004754FB"/>
    <w:rsid w:val="00480306"/>
    <w:rsid w:val="0048200D"/>
    <w:rsid w:val="00484B9D"/>
    <w:rsid w:val="00485503"/>
    <w:rsid w:val="00487D2F"/>
    <w:rsid w:val="00487E4B"/>
    <w:rsid w:val="00490035"/>
    <w:rsid w:val="00491661"/>
    <w:rsid w:val="004923E4"/>
    <w:rsid w:val="00492C21"/>
    <w:rsid w:val="00494144"/>
    <w:rsid w:val="00494E74"/>
    <w:rsid w:val="00495DE0"/>
    <w:rsid w:val="00496FF5"/>
    <w:rsid w:val="004A0CA2"/>
    <w:rsid w:val="004A4226"/>
    <w:rsid w:val="004A6C8F"/>
    <w:rsid w:val="004B01C7"/>
    <w:rsid w:val="004B03EC"/>
    <w:rsid w:val="004B06CD"/>
    <w:rsid w:val="004B0A3B"/>
    <w:rsid w:val="004B11F2"/>
    <w:rsid w:val="004B24FD"/>
    <w:rsid w:val="004B2DA0"/>
    <w:rsid w:val="004B44DC"/>
    <w:rsid w:val="004B743F"/>
    <w:rsid w:val="004B7830"/>
    <w:rsid w:val="004B7E66"/>
    <w:rsid w:val="004C4703"/>
    <w:rsid w:val="004C5299"/>
    <w:rsid w:val="004C7C68"/>
    <w:rsid w:val="004C7D5A"/>
    <w:rsid w:val="004D2EC3"/>
    <w:rsid w:val="004D3FB8"/>
    <w:rsid w:val="004D4320"/>
    <w:rsid w:val="004D5755"/>
    <w:rsid w:val="004E0B8C"/>
    <w:rsid w:val="004E135E"/>
    <w:rsid w:val="004E1638"/>
    <w:rsid w:val="004E1EF2"/>
    <w:rsid w:val="004E2547"/>
    <w:rsid w:val="004E2F3A"/>
    <w:rsid w:val="004E3B78"/>
    <w:rsid w:val="004E5469"/>
    <w:rsid w:val="004E567C"/>
    <w:rsid w:val="004E5877"/>
    <w:rsid w:val="004E6566"/>
    <w:rsid w:val="004E7910"/>
    <w:rsid w:val="004E7C41"/>
    <w:rsid w:val="004F0539"/>
    <w:rsid w:val="004F1009"/>
    <w:rsid w:val="004F146F"/>
    <w:rsid w:val="004F277C"/>
    <w:rsid w:val="004F460B"/>
    <w:rsid w:val="004F5990"/>
    <w:rsid w:val="004F6AE9"/>
    <w:rsid w:val="00500463"/>
    <w:rsid w:val="0050076E"/>
    <w:rsid w:val="005010B2"/>
    <w:rsid w:val="005023DD"/>
    <w:rsid w:val="00503D4B"/>
    <w:rsid w:val="00506760"/>
    <w:rsid w:val="00507E09"/>
    <w:rsid w:val="00510B65"/>
    <w:rsid w:val="005127AE"/>
    <w:rsid w:val="00513635"/>
    <w:rsid w:val="0051447C"/>
    <w:rsid w:val="005148B2"/>
    <w:rsid w:val="00523D0B"/>
    <w:rsid w:val="0052466E"/>
    <w:rsid w:val="005246D7"/>
    <w:rsid w:val="00524ABF"/>
    <w:rsid w:val="00525C13"/>
    <w:rsid w:val="00530AD1"/>
    <w:rsid w:val="0053170E"/>
    <w:rsid w:val="0053779A"/>
    <w:rsid w:val="00537C49"/>
    <w:rsid w:val="00537E0B"/>
    <w:rsid w:val="0054305B"/>
    <w:rsid w:val="00543BF5"/>
    <w:rsid w:val="00550194"/>
    <w:rsid w:val="005506A3"/>
    <w:rsid w:val="00550966"/>
    <w:rsid w:val="005536EC"/>
    <w:rsid w:val="00553E5A"/>
    <w:rsid w:val="005562E7"/>
    <w:rsid w:val="00556404"/>
    <w:rsid w:val="00556B52"/>
    <w:rsid w:val="00557454"/>
    <w:rsid w:val="00560FA0"/>
    <w:rsid w:val="00561719"/>
    <w:rsid w:val="0056248A"/>
    <w:rsid w:val="0056361B"/>
    <w:rsid w:val="0056443D"/>
    <w:rsid w:val="00564667"/>
    <w:rsid w:val="00565B0B"/>
    <w:rsid w:val="0056683C"/>
    <w:rsid w:val="00566C56"/>
    <w:rsid w:val="00572BEB"/>
    <w:rsid w:val="0057333E"/>
    <w:rsid w:val="005747D2"/>
    <w:rsid w:val="00574FF9"/>
    <w:rsid w:val="00575161"/>
    <w:rsid w:val="0057540A"/>
    <w:rsid w:val="00575469"/>
    <w:rsid w:val="00577CBF"/>
    <w:rsid w:val="00583FA9"/>
    <w:rsid w:val="00586975"/>
    <w:rsid w:val="00590771"/>
    <w:rsid w:val="0059331C"/>
    <w:rsid w:val="0059433A"/>
    <w:rsid w:val="0059693A"/>
    <w:rsid w:val="005A1948"/>
    <w:rsid w:val="005A202A"/>
    <w:rsid w:val="005A3772"/>
    <w:rsid w:val="005A62E2"/>
    <w:rsid w:val="005B2429"/>
    <w:rsid w:val="005B24E9"/>
    <w:rsid w:val="005B2D34"/>
    <w:rsid w:val="005B3FC9"/>
    <w:rsid w:val="005B4707"/>
    <w:rsid w:val="005B5A15"/>
    <w:rsid w:val="005B5E42"/>
    <w:rsid w:val="005C0FE2"/>
    <w:rsid w:val="005C21CD"/>
    <w:rsid w:val="005C3C84"/>
    <w:rsid w:val="005C589E"/>
    <w:rsid w:val="005C5CA0"/>
    <w:rsid w:val="005C65DE"/>
    <w:rsid w:val="005C73D4"/>
    <w:rsid w:val="005D0377"/>
    <w:rsid w:val="005D125F"/>
    <w:rsid w:val="005D17F2"/>
    <w:rsid w:val="005D1B3F"/>
    <w:rsid w:val="005D3AD8"/>
    <w:rsid w:val="005E18F5"/>
    <w:rsid w:val="005E4422"/>
    <w:rsid w:val="005E473D"/>
    <w:rsid w:val="005E51E9"/>
    <w:rsid w:val="005E555C"/>
    <w:rsid w:val="005E6A06"/>
    <w:rsid w:val="005E73CA"/>
    <w:rsid w:val="005F2A1F"/>
    <w:rsid w:val="005F39DD"/>
    <w:rsid w:val="005F40EF"/>
    <w:rsid w:val="005F53E8"/>
    <w:rsid w:val="005F7386"/>
    <w:rsid w:val="005F7C31"/>
    <w:rsid w:val="0060130C"/>
    <w:rsid w:val="00602B9E"/>
    <w:rsid w:val="006032DD"/>
    <w:rsid w:val="00605B24"/>
    <w:rsid w:val="006103EC"/>
    <w:rsid w:val="00610B55"/>
    <w:rsid w:val="00610D95"/>
    <w:rsid w:val="006113B8"/>
    <w:rsid w:val="0061245E"/>
    <w:rsid w:val="0061278E"/>
    <w:rsid w:val="00622785"/>
    <w:rsid w:val="006242AC"/>
    <w:rsid w:val="00627668"/>
    <w:rsid w:val="00630483"/>
    <w:rsid w:val="0063071B"/>
    <w:rsid w:val="00630A02"/>
    <w:rsid w:val="0063107D"/>
    <w:rsid w:val="0063217A"/>
    <w:rsid w:val="0063378D"/>
    <w:rsid w:val="00635CE7"/>
    <w:rsid w:val="00637059"/>
    <w:rsid w:val="006371D0"/>
    <w:rsid w:val="006404EA"/>
    <w:rsid w:val="00641AF8"/>
    <w:rsid w:val="00642E6C"/>
    <w:rsid w:val="006432B4"/>
    <w:rsid w:val="00644BA5"/>
    <w:rsid w:val="00644C12"/>
    <w:rsid w:val="006462B6"/>
    <w:rsid w:val="006462FB"/>
    <w:rsid w:val="00651C0C"/>
    <w:rsid w:val="00654245"/>
    <w:rsid w:val="0065534E"/>
    <w:rsid w:val="00655A61"/>
    <w:rsid w:val="00655C0E"/>
    <w:rsid w:val="00656760"/>
    <w:rsid w:val="0066126C"/>
    <w:rsid w:val="00661322"/>
    <w:rsid w:val="006622AF"/>
    <w:rsid w:val="0066374C"/>
    <w:rsid w:val="006637D2"/>
    <w:rsid w:val="00665542"/>
    <w:rsid w:val="00665544"/>
    <w:rsid w:val="00665C26"/>
    <w:rsid w:val="00666350"/>
    <w:rsid w:val="00666CA4"/>
    <w:rsid w:val="0066755D"/>
    <w:rsid w:val="00670ED1"/>
    <w:rsid w:val="00672F9E"/>
    <w:rsid w:val="00673E8E"/>
    <w:rsid w:val="00674AB6"/>
    <w:rsid w:val="00675C67"/>
    <w:rsid w:val="006765D3"/>
    <w:rsid w:val="00676854"/>
    <w:rsid w:val="0067712A"/>
    <w:rsid w:val="00677356"/>
    <w:rsid w:val="0068084B"/>
    <w:rsid w:val="006814D7"/>
    <w:rsid w:val="00682000"/>
    <w:rsid w:val="006820CA"/>
    <w:rsid w:val="0068252F"/>
    <w:rsid w:val="006829BE"/>
    <w:rsid w:val="006849A2"/>
    <w:rsid w:val="006857FA"/>
    <w:rsid w:val="006873F0"/>
    <w:rsid w:val="00690C71"/>
    <w:rsid w:val="0069118D"/>
    <w:rsid w:val="00692519"/>
    <w:rsid w:val="006938DF"/>
    <w:rsid w:val="00694F7B"/>
    <w:rsid w:val="0069644B"/>
    <w:rsid w:val="00697D76"/>
    <w:rsid w:val="006A1608"/>
    <w:rsid w:val="006A20E7"/>
    <w:rsid w:val="006A3937"/>
    <w:rsid w:val="006A45C5"/>
    <w:rsid w:val="006A53B8"/>
    <w:rsid w:val="006A6BF2"/>
    <w:rsid w:val="006A7709"/>
    <w:rsid w:val="006A7B42"/>
    <w:rsid w:val="006B0E1F"/>
    <w:rsid w:val="006B2074"/>
    <w:rsid w:val="006B2AD6"/>
    <w:rsid w:val="006B33E7"/>
    <w:rsid w:val="006B4250"/>
    <w:rsid w:val="006B4CF8"/>
    <w:rsid w:val="006B51D0"/>
    <w:rsid w:val="006C0530"/>
    <w:rsid w:val="006C06CB"/>
    <w:rsid w:val="006C0921"/>
    <w:rsid w:val="006C0ECA"/>
    <w:rsid w:val="006C46BE"/>
    <w:rsid w:val="006C78CA"/>
    <w:rsid w:val="006D3B23"/>
    <w:rsid w:val="006D3DBB"/>
    <w:rsid w:val="006D3E6F"/>
    <w:rsid w:val="006D5D1B"/>
    <w:rsid w:val="006D69E4"/>
    <w:rsid w:val="006D743F"/>
    <w:rsid w:val="006E03FB"/>
    <w:rsid w:val="006E0889"/>
    <w:rsid w:val="006E2E99"/>
    <w:rsid w:val="006E4023"/>
    <w:rsid w:val="006E5861"/>
    <w:rsid w:val="006E598B"/>
    <w:rsid w:val="006E6285"/>
    <w:rsid w:val="006E67DC"/>
    <w:rsid w:val="006E6B4B"/>
    <w:rsid w:val="006E6FBE"/>
    <w:rsid w:val="006E7789"/>
    <w:rsid w:val="006E7D00"/>
    <w:rsid w:val="006F3499"/>
    <w:rsid w:val="006F3AAC"/>
    <w:rsid w:val="006F7517"/>
    <w:rsid w:val="0070001B"/>
    <w:rsid w:val="00702241"/>
    <w:rsid w:val="007038A0"/>
    <w:rsid w:val="00704689"/>
    <w:rsid w:val="00706869"/>
    <w:rsid w:val="00707916"/>
    <w:rsid w:val="00710E7A"/>
    <w:rsid w:val="00711D43"/>
    <w:rsid w:val="0071481C"/>
    <w:rsid w:val="00714853"/>
    <w:rsid w:val="00715971"/>
    <w:rsid w:val="00716CCD"/>
    <w:rsid w:val="007201F5"/>
    <w:rsid w:val="007209C9"/>
    <w:rsid w:val="00721D3C"/>
    <w:rsid w:val="007240F0"/>
    <w:rsid w:val="00725B45"/>
    <w:rsid w:val="00730ECF"/>
    <w:rsid w:val="007327C9"/>
    <w:rsid w:val="007366E1"/>
    <w:rsid w:val="007370BB"/>
    <w:rsid w:val="00741008"/>
    <w:rsid w:val="00741DB8"/>
    <w:rsid w:val="0074337B"/>
    <w:rsid w:val="00746D33"/>
    <w:rsid w:val="00747266"/>
    <w:rsid w:val="0074751C"/>
    <w:rsid w:val="00750C2B"/>
    <w:rsid w:val="00752B6A"/>
    <w:rsid w:val="0075581C"/>
    <w:rsid w:val="0075658A"/>
    <w:rsid w:val="00756A8D"/>
    <w:rsid w:val="00756D0A"/>
    <w:rsid w:val="007616D0"/>
    <w:rsid w:val="00761A6A"/>
    <w:rsid w:val="0076216B"/>
    <w:rsid w:val="00762FAD"/>
    <w:rsid w:val="00764BED"/>
    <w:rsid w:val="00765801"/>
    <w:rsid w:val="007704E5"/>
    <w:rsid w:val="00770FC7"/>
    <w:rsid w:val="007711B1"/>
    <w:rsid w:val="00773292"/>
    <w:rsid w:val="00773B18"/>
    <w:rsid w:val="00774514"/>
    <w:rsid w:val="00774C8F"/>
    <w:rsid w:val="00776CE4"/>
    <w:rsid w:val="00776E3E"/>
    <w:rsid w:val="00777264"/>
    <w:rsid w:val="00777555"/>
    <w:rsid w:val="00777A9B"/>
    <w:rsid w:val="007816AE"/>
    <w:rsid w:val="00784189"/>
    <w:rsid w:val="0078456E"/>
    <w:rsid w:val="007857F8"/>
    <w:rsid w:val="007858BA"/>
    <w:rsid w:val="0078670C"/>
    <w:rsid w:val="00790269"/>
    <w:rsid w:val="00790346"/>
    <w:rsid w:val="00790A6C"/>
    <w:rsid w:val="0079140A"/>
    <w:rsid w:val="00791BE5"/>
    <w:rsid w:val="00794C6A"/>
    <w:rsid w:val="007A2040"/>
    <w:rsid w:val="007A35F3"/>
    <w:rsid w:val="007A3B6E"/>
    <w:rsid w:val="007A4352"/>
    <w:rsid w:val="007A62B9"/>
    <w:rsid w:val="007A7B6A"/>
    <w:rsid w:val="007A7E03"/>
    <w:rsid w:val="007B1264"/>
    <w:rsid w:val="007B263B"/>
    <w:rsid w:val="007B2925"/>
    <w:rsid w:val="007B479A"/>
    <w:rsid w:val="007B532A"/>
    <w:rsid w:val="007B535A"/>
    <w:rsid w:val="007B53DD"/>
    <w:rsid w:val="007C0D09"/>
    <w:rsid w:val="007C1793"/>
    <w:rsid w:val="007C197E"/>
    <w:rsid w:val="007C22D0"/>
    <w:rsid w:val="007C30E2"/>
    <w:rsid w:val="007C3CA8"/>
    <w:rsid w:val="007C3E3F"/>
    <w:rsid w:val="007C3E52"/>
    <w:rsid w:val="007C6138"/>
    <w:rsid w:val="007C65DE"/>
    <w:rsid w:val="007D2080"/>
    <w:rsid w:val="007D24E8"/>
    <w:rsid w:val="007D4964"/>
    <w:rsid w:val="007D642C"/>
    <w:rsid w:val="007E046B"/>
    <w:rsid w:val="007E0920"/>
    <w:rsid w:val="007E0ACD"/>
    <w:rsid w:val="007E1CE4"/>
    <w:rsid w:val="007E27CD"/>
    <w:rsid w:val="007E7326"/>
    <w:rsid w:val="007F0806"/>
    <w:rsid w:val="007F1C16"/>
    <w:rsid w:val="007F48F8"/>
    <w:rsid w:val="007F5DA5"/>
    <w:rsid w:val="007F6434"/>
    <w:rsid w:val="007F7182"/>
    <w:rsid w:val="007F770C"/>
    <w:rsid w:val="00800E9F"/>
    <w:rsid w:val="00801F62"/>
    <w:rsid w:val="008022CD"/>
    <w:rsid w:val="00802629"/>
    <w:rsid w:val="008037E4"/>
    <w:rsid w:val="00803C48"/>
    <w:rsid w:val="00804F8F"/>
    <w:rsid w:val="0080538D"/>
    <w:rsid w:val="0080591C"/>
    <w:rsid w:val="00805989"/>
    <w:rsid w:val="008074C2"/>
    <w:rsid w:val="008079D7"/>
    <w:rsid w:val="00807D77"/>
    <w:rsid w:val="008107E7"/>
    <w:rsid w:val="00811CB3"/>
    <w:rsid w:val="00813CED"/>
    <w:rsid w:val="0081608A"/>
    <w:rsid w:val="00817BCA"/>
    <w:rsid w:val="00820750"/>
    <w:rsid w:val="00820BE4"/>
    <w:rsid w:val="008211AF"/>
    <w:rsid w:val="00821D4D"/>
    <w:rsid w:val="00822E4C"/>
    <w:rsid w:val="008269FC"/>
    <w:rsid w:val="00827300"/>
    <w:rsid w:val="008345CE"/>
    <w:rsid w:val="00836804"/>
    <w:rsid w:val="00843FD3"/>
    <w:rsid w:val="00844B67"/>
    <w:rsid w:val="00847CA7"/>
    <w:rsid w:val="00847E35"/>
    <w:rsid w:val="0085085B"/>
    <w:rsid w:val="00851699"/>
    <w:rsid w:val="0085328F"/>
    <w:rsid w:val="008549AB"/>
    <w:rsid w:val="0085697F"/>
    <w:rsid w:val="00856F1F"/>
    <w:rsid w:val="00860FFD"/>
    <w:rsid w:val="00863537"/>
    <w:rsid w:val="00863E51"/>
    <w:rsid w:val="00865428"/>
    <w:rsid w:val="008656B6"/>
    <w:rsid w:val="00865BBD"/>
    <w:rsid w:val="00866EDF"/>
    <w:rsid w:val="00870269"/>
    <w:rsid w:val="00871246"/>
    <w:rsid w:val="00872B37"/>
    <w:rsid w:val="008733AA"/>
    <w:rsid w:val="00873518"/>
    <w:rsid w:val="00873F7C"/>
    <w:rsid w:val="0087422E"/>
    <w:rsid w:val="0087519A"/>
    <w:rsid w:val="00875D8D"/>
    <w:rsid w:val="00876086"/>
    <w:rsid w:val="00876AE5"/>
    <w:rsid w:val="008776D9"/>
    <w:rsid w:val="00877848"/>
    <w:rsid w:val="00881BF6"/>
    <w:rsid w:val="00881EB7"/>
    <w:rsid w:val="0088294E"/>
    <w:rsid w:val="00882ACE"/>
    <w:rsid w:val="00883D5D"/>
    <w:rsid w:val="0088504D"/>
    <w:rsid w:val="00885052"/>
    <w:rsid w:val="00885A32"/>
    <w:rsid w:val="00886C1C"/>
    <w:rsid w:val="00886DE6"/>
    <w:rsid w:val="008873A6"/>
    <w:rsid w:val="0088793C"/>
    <w:rsid w:val="00887AF0"/>
    <w:rsid w:val="00890C3F"/>
    <w:rsid w:val="008935A9"/>
    <w:rsid w:val="00893FF8"/>
    <w:rsid w:val="00894FE7"/>
    <w:rsid w:val="00895CB4"/>
    <w:rsid w:val="00896F73"/>
    <w:rsid w:val="00897137"/>
    <w:rsid w:val="008A1B49"/>
    <w:rsid w:val="008A1F8A"/>
    <w:rsid w:val="008A2C1C"/>
    <w:rsid w:val="008A3A0F"/>
    <w:rsid w:val="008A3D23"/>
    <w:rsid w:val="008A7BFA"/>
    <w:rsid w:val="008A7F85"/>
    <w:rsid w:val="008B035D"/>
    <w:rsid w:val="008B04E7"/>
    <w:rsid w:val="008B0BAD"/>
    <w:rsid w:val="008B2D31"/>
    <w:rsid w:val="008B302F"/>
    <w:rsid w:val="008B4A59"/>
    <w:rsid w:val="008B6284"/>
    <w:rsid w:val="008B6957"/>
    <w:rsid w:val="008B7C44"/>
    <w:rsid w:val="008C111E"/>
    <w:rsid w:val="008C4A35"/>
    <w:rsid w:val="008C5706"/>
    <w:rsid w:val="008C6962"/>
    <w:rsid w:val="008C7B92"/>
    <w:rsid w:val="008D01A0"/>
    <w:rsid w:val="008D084D"/>
    <w:rsid w:val="008D20B0"/>
    <w:rsid w:val="008D4F0B"/>
    <w:rsid w:val="008D60FB"/>
    <w:rsid w:val="008E1321"/>
    <w:rsid w:val="008E29F2"/>
    <w:rsid w:val="008E2C35"/>
    <w:rsid w:val="008E2F24"/>
    <w:rsid w:val="008E307A"/>
    <w:rsid w:val="008E675C"/>
    <w:rsid w:val="008F2634"/>
    <w:rsid w:val="008F49C8"/>
    <w:rsid w:val="008F7603"/>
    <w:rsid w:val="00902948"/>
    <w:rsid w:val="00902C59"/>
    <w:rsid w:val="00903BCB"/>
    <w:rsid w:val="00904091"/>
    <w:rsid w:val="00904BBA"/>
    <w:rsid w:val="00905273"/>
    <w:rsid w:val="009057C8"/>
    <w:rsid w:val="0091272A"/>
    <w:rsid w:val="0091349C"/>
    <w:rsid w:val="00913642"/>
    <w:rsid w:val="00914922"/>
    <w:rsid w:val="009149CE"/>
    <w:rsid w:val="009171F2"/>
    <w:rsid w:val="00920002"/>
    <w:rsid w:val="00923969"/>
    <w:rsid w:val="009242C5"/>
    <w:rsid w:val="00926D2C"/>
    <w:rsid w:val="00926FB0"/>
    <w:rsid w:val="00927287"/>
    <w:rsid w:val="0092764B"/>
    <w:rsid w:val="00931423"/>
    <w:rsid w:val="00931866"/>
    <w:rsid w:val="00931E3F"/>
    <w:rsid w:val="0093483A"/>
    <w:rsid w:val="0093529D"/>
    <w:rsid w:val="00940027"/>
    <w:rsid w:val="00941617"/>
    <w:rsid w:val="0094200A"/>
    <w:rsid w:val="009434A1"/>
    <w:rsid w:val="00943EF0"/>
    <w:rsid w:val="0094519B"/>
    <w:rsid w:val="00945BD9"/>
    <w:rsid w:val="00946915"/>
    <w:rsid w:val="00946CCC"/>
    <w:rsid w:val="009470D3"/>
    <w:rsid w:val="009501A2"/>
    <w:rsid w:val="00950D72"/>
    <w:rsid w:val="009513CC"/>
    <w:rsid w:val="009520F6"/>
    <w:rsid w:val="00952452"/>
    <w:rsid w:val="009534A7"/>
    <w:rsid w:val="00955B25"/>
    <w:rsid w:val="009564C8"/>
    <w:rsid w:val="009566CE"/>
    <w:rsid w:val="009569CA"/>
    <w:rsid w:val="009620CC"/>
    <w:rsid w:val="00962279"/>
    <w:rsid w:val="00962E9F"/>
    <w:rsid w:val="0096323A"/>
    <w:rsid w:val="0096362D"/>
    <w:rsid w:val="00963E6E"/>
    <w:rsid w:val="00964BBA"/>
    <w:rsid w:val="00966B0C"/>
    <w:rsid w:val="00966D66"/>
    <w:rsid w:val="00966ECC"/>
    <w:rsid w:val="009672DE"/>
    <w:rsid w:val="00976587"/>
    <w:rsid w:val="00976678"/>
    <w:rsid w:val="009804F9"/>
    <w:rsid w:val="00980E0F"/>
    <w:rsid w:val="009815CF"/>
    <w:rsid w:val="00981AA2"/>
    <w:rsid w:val="00983DB5"/>
    <w:rsid w:val="0098486E"/>
    <w:rsid w:val="00986748"/>
    <w:rsid w:val="00986F23"/>
    <w:rsid w:val="00986F93"/>
    <w:rsid w:val="00987FC8"/>
    <w:rsid w:val="009913A2"/>
    <w:rsid w:val="00992F39"/>
    <w:rsid w:val="00993084"/>
    <w:rsid w:val="00993DC4"/>
    <w:rsid w:val="00994F09"/>
    <w:rsid w:val="0099728D"/>
    <w:rsid w:val="009A04AE"/>
    <w:rsid w:val="009A090D"/>
    <w:rsid w:val="009B0092"/>
    <w:rsid w:val="009B082C"/>
    <w:rsid w:val="009B1565"/>
    <w:rsid w:val="009B1FB7"/>
    <w:rsid w:val="009B2F1E"/>
    <w:rsid w:val="009B56FD"/>
    <w:rsid w:val="009C0453"/>
    <w:rsid w:val="009C0B62"/>
    <w:rsid w:val="009C1E78"/>
    <w:rsid w:val="009C2791"/>
    <w:rsid w:val="009C2E57"/>
    <w:rsid w:val="009C2F3B"/>
    <w:rsid w:val="009C3600"/>
    <w:rsid w:val="009C3634"/>
    <w:rsid w:val="009C47DD"/>
    <w:rsid w:val="009C690B"/>
    <w:rsid w:val="009D018F"/>
    <w:rsid w:val="009D0340"/>
    <w:rsid w:val="009D4702"/>
    <w:rsid w:val="009D484F"/>
    <w:rsid w:val="009D666D"/>
    <w:rsid w:val="009E2018"/>
    <w:rsid w:val="009E2ED1"/>
    <w:rsid w:val="009E37B9"/>
    <w:rsid w:val="009E390B"/>
    <w:rsid w:val="009E3CC1"/>
    <w:rsid w:val="009E4A36"/>
    <w:rsid w:val="009E4B6E"/>
    <w:rsid w:val="009E7864"/>
    <w:rsid w:val="009E7A87"/>
    <w:rsid w:val="009F1077"/>
    <w:rsid w:val="009F17BB"/>
    <w:rsid w:val="009F1B5D"/>
    <w:rsid w:val="009F2363"/>
    <w:rsid w:val="009F307A"/>
    <w:rsid w:val="009F41A1"/>
    <w:rsid w:val="009F5916"/>
    <w:rsid w:val="00A025D2"/>
    <w:rsid w:val="00A04FAB"/>
    <w:rsid w:val="00A05148"/>
    <w:rsid w:val="00A11F20"/>
    <w:rsid w:val="00A138A0"/>
    <w:rsid w:val="00A14327"/>
    <w:rsid w:val="00A168A6"/>
    <w:rsid w:val="00A16F21"/>
    <w:rsid w:val="00A17865"/>
    <w:rsid w:val="00A22226"/>
    <w:rsid w:val="00A245F6"/>
    <w:rsid w:val="00A24678"/>
    <w:rsid w:val="00A246E6"/>
    <w:rsid w:val="00A252C7"/>
    <w:rsid w:val="00A26243"/>
    <w:rsid w:val="00A30033"/>
    <w:rsid w:val="00A30B43"/>
    <w:rsid w:val="00A32678"/>
    <w:rsid w:val="00A330F1"/>
    <w:rsid w:val="00A332AF"/>
    <w:rsid w:val="00A33801"/>
    <w:rsid w:val="00A341F3"/>
    <w:rsid w:val="00A34D2D"/>
    <w:rsid w:val="00A36CA6"/>
    <w:rsid w:val="00A36F88"/>
    <w:rsid w:val="00A37C1A"/>
    <w:rsid w:val="00A4127E"/>
    <w:rsid w:val="00A419E5"/>
    <w:rsid w:val="00A41E84"/>
    <w:rsid w:val="00A4344C"/>
    <w:rsid w:val="00A453AF"/>
    <w:rsid w:val="00A462AC"/>
    <w:rsid w:val="00A464D9"/>
    <w:rsid w:val="00A465B0"/>
    <w:rsid w:val="00A47232"/>
    <w:rsid w:val="00A4750C"/>
    <w:rsid w:val="00A50398"/>
    <w:rsid w:val="00A50FED"/>
    <w:rsid w:val="00A515F8"/>
    <w:rsid w:val="00A55BC7"/>
    <w:rsid w:val="00A56675"/>
    <w:rsid w:val="00A56D57"/>
    <w:rsid w:val="00A57BE3"/>
    <w:rsid w:val="00A62033"/>
    <w:rsid w:val="00A63AF1"/>
    <w:rsid w:val="00A66325"/>
    <w:rsid w:val="00A6637D"/>
    <w:rsid w:val="00A663EF"/>
    <w:rsid w:val="00A66AE2"/>
    <w:rsid w:val="00A67EC6"/>
    <w:rsid w:val="00A74A6C"/>
    <w:rsid w:val="00A755F2"/>
    <w:rsid w:val="00A757F8"/>
    <w:rsid w:val="00A81450"/>
    <w:rsid w:val="00A848E8"/>
    <w:rsid w:val="00A84D64"/>
    <w:rsid w:val="00A8739E"/>
    <w:rsid w:val="00A87F54"/>
    <w:rsid w:val="00A9000A"/>
    <w:rsid w:val="00A9062D"/>
    <w:rsid w:val="00A90DCD"/>
    <w:rsid w:val="00A910BF"/>
    <w:rsid w:val="00A93E12"/>
    <w:rsid w:val="00A95366"/>
    <w:rsid w:val="00A95E68"/>
    <w:rsid w:val="00A96322"/>
    <w:rsid w:val="00AA2538"/>
    <w:rsid w:val="00AA2721"/>
    <w:rsid w:val="00AA2A9D"/>
    <w:rsid w:val="00AA2FBE"/>
    <w:rsid w:val="00AA4ED4"/>
    <w:rsid w:val="00AA5C61"/>
    <w:rsid w:val="00AA5EE2"/>
    <w:rsid w:val="00AA603E"/>
    <w:rsid w:val="00AA6440"/>
    <w:rsid w:val="00AA6804"/>
    <w:rsid w:val="00AA6D72"/>
    <w:rsid w:val="00AA7E24"/>
    <w:rsid w:val="00AB21FD"/>
    <w:rsid w:val="00AB3A85"/>
    <w:rsid w:val="00AB3AC3"/>
    <w:rsid w:val="00AB3F0B"/>
    <w:rsid w:val="00AB4ADE"/>
    <w:rsid w:val="00AB4CD4"/>
    <w:rsid w:val="00AB50CB"/>
    <w:rsid w:val="00AB5290"/>
    <w:rsid w:val="00AB66B4"/>
    <w:rsid w:val="00AB7848"/>
    <w:rsid w:val="00AB78D1"/>
    <w:rsid w:val="00AC0952"/>
    <w:rsid w:val="00AC1CAC"/>
    <w:rsid w:val="00AC1CD0"/>
    <w:rsid w:val="00AC3A99"/>
    <w:rsid w:val="00AC433F"/>
    <w:rsid w:val="00AC4BC4"/>
    <w:rsid w:val="00AC5190"/>
    <w:rsid w:val="00AC51DB"/>
    <w:rsid w:val="00AC56EF"/>
    <w:rsid w:val="00AC760E"/>
    <w:rsid w:val="00AD0119"/>
    <w:rsid w:val="00AD09A2"/>
    <w:rsid w:val="00AD2778"/>
    <w:rsid w:val="00AD2975"/>
    <w:rsid w:val="00AD3534"/>
    <w:rsid w:val="00AD3849"/>
    <w:rsid w:val="00AD43BA"/>
    <w:rsid w:val="00AD5B36"/>
    <w:rsid w:val="00AD5BFB"/>
    <w:rsid w:val="00AD6019"/>
    <w:rsid w:val="00AD6F15"/>
    <w:rsid w:val="00AD7DB8"/>
    <w:rsid w:val="00AD7E7A"/>
    <w:rsid w:val="00AE0B40"/>
    <w:rsid w:val="00AE0C57"/>
    <w:rsid w:val="00AE2E93"/>
    <w:rsid w:val="00AE2F41"/>
    <w:rsid w:val="00AE39CB"/>
    <w:rsid w:val="00AF08FC"/>
    <w:rsid w:val="00AF0D35"/>
    <w:rsid w:val="00AF153F"/>
    <w:rsid w:val="00AF2D77"/>
    <w:rsid w:val="00AF325F"/>
    <w:rsid w:val="00AF37F1"/>
    <w:rsid w:val="00AF46B5"/>
    <w:rsid w:val="00AF5F83"/>
    <w:rsid w:val="00AF615D"/>
    <w:rsid w:val="00B00CC9"/>
    <w:rsid w:val="00B01867"/>
    <w:rsid w:val="00B01BB6"/>
    <w:rsid w:val="00B05644"/>
    <w:rsid w:val="00B05CA2"/>
    <w:rsid w:val="00B07652"/>
    <w:rsid w:val="00B077DE"/>
    <w:rsid w:val="00B10A60"/>
    <w:rsid w:val="00B110CD"/>
    <w:rsid w:val="00B1295A"/>
    <w:rsid w:val="00B13080"/>
    <w:rsid w:val="00B17945"/>
    <w:rsid w:val="00B21FBA"/>
    <w:rsid w:val="00B2274A"/>
    <w:rsid w:val="00B2576F"/>
    <w:rsid w:val="00B27803"/>
    <w:rsid w:val="00B31A6A"/>
    <w:rsid w:val="00B33D8D"/>
    <w:rsid w:val="00B34445"/>
    <w:rsid w:val="00B36270"/>
    <w:rsid w:val="00B3788F"/>
    <w:rsid w:val="00B402ED"/>
    <w:rsid w:val="00B41170"/>
    <w:rsid w:val="00B416B3"/>
    <w:rsid w:val="00B41AD3"/>
    <w:rsid w:val="00B41B87"/>
    <w:rsid w:val="00B41D24"/>
    <w:rsid w:val="00B42E4C"/>
    <w:rsid w:val="00B42ED7"/>
    <w:rsid w:val="00B44ED4"/>
    <w:rsid w:val="00B46677"/>
    <w:rsid w:val="00B46C87"/>
    <w:rsid w:val="00B502F6"/>
    <w:rsid w:val="00B51BC1"/>
    <w:rsid w:val="00B523F6"/>
    <w:rsid w:val="00B5391D"/>
    <w:rsid w:val="00B57136"/>
    <w:rsid w:val="00B62FE2"/>
    <w:rsid w:val="00B64014"/>
    <w:rsid w:val="00B64083"/>
    <w:rsid w:val="00B67E3A"/>
    <w:rsid w:val="00B70A20"/>
    <w:rsid w:val="00B71193"/>
    <w:rsid w:val="00B713CA"/>
    <w:rsid w:val="00B71783"/>
    <w:rsid w:val="00B752DF"/>
    <w:rsid w:val="00B75900"/>
    <w:rsid w:val="00B76077"/>
    <w:rsid w:val="00B770CC"/>
    <w:rsid w:val="00B80C89"/>
    <w:rsid w:val="00B83DF5"/>
    <w:rsid w:val="00B859BE"/>
    <w:rsid w:val="00B85A44"/>
    <w:rsid w:val="00B8621E"/>
    <w:rsid w:val="00B86CB7"/>
    <w:rsid w:val="00B87061"/>
    <w:rsid w:val="00B87099"/>
    <w:rsid w:val="00B903DA"/>
    <w:rsid w:val="00B917E2"/>
    <w:rsid w:val="00B92946"/>
    <w:rsid w:val="00B92A4E"/>
    <w:rsid w:val="00B92D07"/>
    <w:rsid w:val="00B93166"/>
    <w:rsid w:val="00B95833"/>
    <w:rsid w:val="00B97128"/>
    <w:rsid w:val="00B9754C"/>
    <w:rsid w:val="00BA27E4"/>
    <w:rsid w:val="00BA57E6"/>
    <w:rsid w:val="00BA5B18"/>
    <w:rsid w:val="00BA6BD3"/>
    <w:rsid w:val="00BB02C2"/>
    <w:rsid w:val="00BB08D1"/>
    <w:rsid w:val="00BB174E"/>
    <w:rsid w:val="00BB52C8"/>
    <w:rsid w:val="00BB777C"/>
    <w:rsid w:val="00BB7C3C"/>
    <w:rsid w:val="00BC0D25"/>
    <w:rsid w:val="00BC2AB5"/>
    <w:rsid w:val="00BC4D1A"/>
    <w:rsid w:val="00BC4E78"/>
    <w:rsid w:val="00BC4EBD"/>
    <w:rsid w:val="00BC7646"/>
    <w:rsid w:val="00BC7F18"/>
    <w:rsid w:val="00BD21A0"/>
    <w:rsid w:val="00BD2C86"/>
    <w:rsid w:val="00BD3104"/>
    <w:rsid w:val="00BD31E4"/>
    <w:rsid w:val="00BD362F"/>
    <w:rsid w:val="00BD374D"/>
    <w:rsid w:val="00BE0437"/>
    <w:rsid w:val="00BE158F"/>
    <w:rsid w:val="00BE1748"/>
    <w:rsid w:val="00BE1CFA"/>
    <w:rsid w:val="00BE3DBB"/>
    <w:rsid w:val="00BE4220"/>
    <w:rsid w:val="00BE4DA0"/>
    <w:rsid w:val="00BE5800"/>
    <w:rsid w:val="00BE6150"/>
    <w:rsid w:val="00BE69F5"/>
    <w:rsid w:val="00BE7082"/>
    <w:rsid w:val="00BF0056"/>
    <w:rsid w:val="00BF0E75"/>
    <w:rsid w:val="00BF146A"/>
    <w:rsid w:val="00BF4006"/>
    <w:rsid w:val="00BF41B4"/>
    <w:rsid w:val="00BF4C6A"/>
    <w:rsid w:val="00BF4C96"/>
    <w:rsid w:val="00C03F57"/>
    <w:rsid w:val="00C0527E"/>
    <w:rsid w:val="00C05E0B"/>
    <w:rsid w:val="00C061C3"/>
    <w:rsid w:val="00C065A6"/>
    <w:rsid w:val="00C113B0"/>
    <w:rsid w:val="00C11C88"/>
    <w:rsid w:val="00C11EB3"/>
    <w:rsid w:val="00C13B96"/>
    <w:rsid w:val="00C14BC4"/>
    <w:rsid w:val="00C14F8C"/>
    <w:rsid w:val="00C17842"/>
    <w:rsid w:val="00C20757"/>
    <w:rsid w:val="00C23E57"/>
    <w:rsid w:val="00C2688E"/>
    <w:rsid w:val="00C277D0"/>
    <w:rsid w:val="00C310EE"/>
    <w:rsid w:val="00C3162C"/>
    <w:rsid w:val="00C330DC"/>
    <w:rsid w:val="00C36289"/>
    <w:rsid w:val="00C37340"/>
    <w:rsid w:val="00C37835"/>
    <w:rsid w:val="00C37A54"/>
    <w:rsid w:val="00C400F4"/>
    <w:rsid w:val="00C41280"/>
    <w:rsid w:val="00C425A5"/>
    <w:rsid w:val="00C42EA5"/>
    <w:rsid w:val="00C42F31"/>
    <w:rsid w:val="00C45C6F"/>
    <w:rsid w:val="00C46129"/>
    <w:rsid w:val="00C46212"/>
    <w:rsid w:val="00C5208E"/>
    <w:rsid w:val="00C520A7"/>
    <w:rsid w:val="00C552F2"/>
    <w:rsid w:val="00C554A2"/>
    <w:rsid w:val="00C55667"/>
    <w:rsid w:val="00C55FD7"/>
    <w:rsid w:val="00C56180"/>
    <w:rsid w:val="00C5755D"/>
    <w:rsid w:val="00C63A22"/>
    <w:rsid w:val="00C6464C"/>
    <w:rsid w:val="00C67207"/>
    <w:rsid w:val="00C70870"/>
    <w:rsid w:val="00C70D2B"/>
    <w:rsid w:val="00C7165E"/>
    <w:rsid w:val="00C71685"/>
    <w:rsid w:val="00C7388E"/>
    <w:rsid w:val="00C75362"/>
    <w:rsid w:val="00C7658A"/>
    <w:rsid w:val="00C769C0"/>
    <w:rsid w:val="00C769D0"/>
    <w:rsid w:val="00C7761F"/>
    <w:rsid w:val="00C80762"/>
    <w:rsid w:val="00C81DA9"/>
    <w:rsid w:val="00C82209"/>
    <w:rsid w:val="00C83073"/>
    <w:rsid w:val="00C84741"/>
    <w:rsid w:val="00C85020"/>
    <w:rsid w:val="00C8689E"/>
    <w:rsid w:val="00C90093"/>
    <w:rsid w:val="00C901C0"/>
    <w:rsid w:val="00C90752"/>
    <w:rsid w:val="00C91DBD"/>
    <w:rsid w:val="00C927ED"/>
    <w:rsid w:val="00C92C58"/>
    <w:rsid w:val="00C97EAA"/>
    <w:rsid w:val="00CA03EC"/>
    <w:rsid w:val="00CA277A"/>
    <w:rsid w:val="00CA2C24"/>
    <w:rsid w:val="00CA5DF9"/>
    <w:rsid w:val="00CA6A66"/>
    <w:rsid w:val="00CA7081"/>
    <w:rsid w:val="00CA71D8"/>
    <w:rsid w:val="00CA7421"/>
    <w:rsid w:val="00CA7EC8"/>
    <w:rsid w:val="00CB151F"/>
    <w:rsid w:val="00CB3510"/>
    <w:rsid w:val="00CB38A7"/>
    <w:rsid w:val="00CB5EB6"/>
    <w:rsid w:val="00CB7526"/>
    <w:rsid w:val="00CB7BD9"/>
    <w:rsid w:val="00CC110D"/>
    <w:rsid w:val="00CC44ED"/>
    <w:rsid w:val="00CC45C8"/>
    <w:rsid w:val="00CC5797"/>
    <w:rsid w:val="00CD070E"/>
    <w:rsid w:val="00CD0B1B"/>
    <w:rsid w:val="00CD1096"/>
    <w:rsid w:val="00CD1962"/>
    <w:rsid w:val="00CD35C6"/>
    <w:rsid w:val="00CD3C18"/>
    <w:rsid w:val="00CD41D9"/>
    <w:rsid w:val="00CE0C62"/>
    <w:rsid w:val="00CE3BCD"/>
    <w:rsid w:val="00CE3ECE"/>
    <w:rsid w:val="00CE4AFE"/>
    <w:rsid w:val="00CF0D07"/>
    <w:rsid w:val="00CF2424"/>
    <w:rsid w:val="00CF2EF8"/>
    <w:rsid w:val="00CF3139"/>
    <w:rsid w:val="00CF43B5"/>
    <w:rsid w:val="00CF64BA"/>
    <w:rsid w:val="00CF6E4A"/>
    <w:rsid w:val="00CF750E"/>
    <w:rsid w:val="00D00B00"/>
    <w:rsid w:val="00D02CAF"/>
    <w:rsid w:val="00D033DB"/>
    <w:rsid w:val="00D0359F"/>
    <w:rsid w:val="00D04722"/>
    <w:rsid w:val="00D05A01"/>
    <w:rsid w:val="00D07CA1"/>
    <w:rsid w:val="00D07CA8"/>
    <w:rsid w:val="00D11D5A"/>
    <w:rsid w:val="00D11F6E"/>
    <w:rsid w:val="00D144EB"/>
    <w:rsid w:val="00D1643E"/>
    <w:rsid w:val="00D177C9"/>
    <w:rsid w:val="00D225A9"/>
    <w:rsid w:val="00D241C8"/>
    <w:rsid w:val="00D26C58"/>
    <w:rsid w:val="00D26D5D"/>
    <w:rsid w:val="00D27E77"/>
    <w:rsid w:val="00D308D4"/>
    <w:rsid w:val="00D3194A"/>
    <w:rsid w:val="00D32728"/>
    <w:rsid w:val="00D330F9"/>
    <w:rsid w:val="00D3542D"/>
    <w:rsid w:val="00D406D4"/>
    <w:rsid w:val="00D4607F"/>
    <w:rsid w:val="00D460F8"/>
    <w:rsid w:val="00D46FC7"/>
    <w:rsid w:val="00D47068"/>
    <w:rsid w:val="00D513AD"/>
    <w:rsid w:val="00D54ACE"/>
    <w:rsid w:val="00D54BB2"/>
    <w:rsid w:val="00D55777"/>
    <w:rsid w:val="00D57504"/>
    <w:rsid w:val="00D607F6"/>
    <w:rsid w:val="00D61D39"/>
    <w:rsid w:val="00D6215B"/>
    <w:rsid w:val="00D62825"/>
    <w:rsid w:val="00D62947"/>
    <w:rsid w:val="00D630C8"/>
    <w:rsid w:val="00D635CF"/>
    <w:rsid w:val="00D63826"/>
    <w:rsid w:val="00D63A65"/>
    <w:rsid w:val="00D647B9"/>
    <w:rsid w:val="00D64880"/>
    <w:rsid w:val="00D65ECB"/>
    <w:rsid w:val="00D67152"/>
    <w:rsid w:val="00D70343"/>
    <w:rsid w:val="00D72013"/>
    <w:rsid w:val="00D73360"/>
    <w:rsid w:val="00D76C8B"/>
    <w:rsid w:val="00D801CE"/>
    <w:rsid w:val="00D80DF1"/>
    <w:rsid w:val="00D8404A"/>
    <w:rsid w:val="00D8760D"/>
    <w:rsid w:val="00D90023"/>
    <w:rsid w:val="00D918C7"/>
    <w:rsid w:val="00D94E13"/>
    <w:rsid w:val="00D9528E"/>
    <w:rsid w:val="00D961D4"/>
    <w:rsid w:val="00D967B1"/>
    <w:rsid w:val="00D97A72"/>
    <w:rsid w:val="00DA0AD7"/>
    <w:rsid w:val="00DA1136"/>
    <w:rsid w:val="00DA14B8"/>
    <w:rsid w:val="00DA1ED2"/>
    <w:rsid w:val="00DA41AC"/>
    <w:rsid w:val="00DA5910"/>
    <w:rsid w:val="00DA6157"/>
    <w:rsid w:val="00DA7640"/>
    <w:rsid w:val="00DA7709"/>
    <w:rsid w:val="00DB0BD9"/>
    <w:rsid w:val="00DB0C03"/>
    <w:rsid w:val="00DB1C58"/>
    <w:rsid w:val="00DB21DB"/>
    <w:rsid w:val="00DB2F72"/>
    <w:rsid w:val="00DB2FCB"/>
    <w:rsid w:val="00DB3E6B"/>
    <w:rsid w:val="00DB4E18"/>
    <w:rsid w:val="00DB578B"/>
    <w:rsid w:val="00DB5828"/>
    <w:rsid w:val="00DB697B"/>
    <w:rsid w:val="00DC0B1F"/>
    <w:rsid w:val="00DC0B80"/>
    <w:rsid w:val="00DC24C6"/>
    <w:rsid w:val="00DC479F"/>
    <w:rsid w:val="00DC6169"/>
    <w:rsid w:val="00DD1B58"/>
    <w:rsid w:val="00DD24A6"/>
    <w:rsid w:val="00DD29CB"/>
    <w:rsid w:val="00DD37DB"/>
    <w:rsid w:val="00DD3DBD"/>
    <w:rsid w:val="00DD4248"/>
    <w:rsid w:val="00DD433C"/>
    <w:rsid w:val="00DD4492"/>
    <w:rsid w:val="00DD4912"/>
    <w:rsid w:val="00DD49DC"/>
    <w:rsid w:val="00DE0152"/>
    <w:rsid w:val="00DE126E"/>
    <w:rsid w:val="00DE1422"/>
    <w:rsid w:val="00DE142D"/>
    <w:rsid w:val="00DE21C0"/>
    <w:rsid w:val="00DE2A0E"/>
    <w:rsid w:val="00DE31F3"/>
    <w:rsid w:val="00DE347B"/>
    <w:rsid w:val="00DE56B0"/>
    <w:rsid w:val="00DE60A9"/>
    <w:rsid w:val="00DF038D"/>
    <w:rsid w:val="00DF068B"/>
    <w:rsid w:val="00DF3151"/>
    <w:rsid w:val="00DF364D"/>
    <w:rsid w:val="00DF3736"/>
    <w:rsid w:val="00DF4566"/>
    <w:rsid w:val="00DF4867"/>
    <w:rsid w:val="00DF4913"/>
    <w:rsid w:val="00DF52D7"/>
    <w:rsid w:val="00E00D84"/>
    <w:rsid w:val="00E010FD"/>
    <w:rsid w:val="00E02A4C"/>
    <w:rsid w:val="00E02B98"/>
    <w:rsid w:val="00E0315B"/>
    <w:rsid w:val="00E03455"/>
    <w:rsid w:val="00E037BD"/>
    <w:rsid w:val="00E04A8D"/>
    <w:rsid w:val="00E055A4"/>
    <w:rsid w:val="00E07CCD"/>
    <w:rsid w:val="00E07F72"/>
    <w:rsid w:val="00E101AF"/>
    <w:rsid w:val="00E1112C"/>
    <w:rsid w:val="00E116B5"/>
    <w:rsid w:val="00E13E6A"/>
    <w:rsid w:val="00E14F52"/>
    <w:rsid w:val="00E15421"/>
    <w:rsid w:val="00E15756"/>
    <w:rsid w:val="00E15AAE"/>
    <w:rsid w:val="00E160FB"/>
    <w:rsid w:val="00E163C0"/>
    <w:rsid w:val="00E16F58"/>
    <w:rsid w:val="00E20B96"/>
    <w:rsid w:val="00E22626"/>
    <w:rsid w:val="00E22FC2"/>
    <w:rsid w:val="00E2357D"/>
    <w:rsid w:val="00E23C13"/>
    <w:rsid w:val="00E23D71"/>
    <w:rsid w:val="00E2420A"/>
    <w:rsid w:val="00E25D73"/>
    <w:rsid w:val="00E27328"/>
    <w:rsid w:val="00E30715"/>
    <w:rsid w:val="00E30DB7"/>
    <w:rsid w:val="00E30EEE"/>
    <w:rsid w:val="00E317A6"/>
    <w:rsid w:val="00E318D2"/>
    <w:rsid w:val="00E32768"/>
    <w:rsid w:val="00E34EAC"/>
    <w:rsid w:val="00E34F11"/>
    <w:rsid w:val="00E369A1"/>
    <w:rsid w:val="00E36AA8"/>
    <w:rsid w:val="00E37A41"/>
    <w:rsid w:val="00E41113"/>
    <w:rsid w:val="00E41940"/>
    <w:rsid w:val="00E41A58"/>
    <w:rsid w:val="00E422DA"/>
    <w:rsid w:val="00E4271B"/>
    <w:rsid w:val="00E433B8"/>
    <w:rsid w:val="00E43929"/>
    <w:rsid w:val="00E44898"/>
    <w:rsid w:val="00E44943"/>
    <w:rsid w:val="00E46713"/>
    <w:rsid w:val="00E533F5"/>
    <w:rsid w:val="00E53ECF"/>
    <w:rsid w:val="00E57CBD"/>
    <w:rsid w:val="00E60A7F"/>
    <w:rsid w:val="00E61A53"/>
    <w:rsid w:val="00E61B3E"/>
    <w:rsid w:val="00E625EC"/>
    <w:rsid w:val="00E626B2"/>
    <w:rsid w:val="00E6440E"/>
    <w:rsid w:val="00E65FBD"/>
    <w:rsid w:val="00E6661A"/>
    <w:rsid w:val="00E70204"/>
    <w:rsid w:val="00E70629"/>
    <w:rsid w:val="00E71B4D"/>
    <w:rsid w:val="00E759F7"/>
    <w:rsid w:val="00E7702F"/>
    <w:rsid w:val="00E771CF"/>
    <w:rsid w:val="00E809B2"/>
    <w:rsid w:val="00E81FB3"/>
    <w:rsid w:val="00E82A82"/>
    <w:rsid w:val="00E8354F"/>
    <w:rsid w:val="00E84328"/>
    <w:rsid w:val="00E84B4B"/>
    <w:rsid w:val="00E85FFD"/>
    <w:rsid w:val="00E9095D"/>
    <w:rsid w:val="00E918D2"/>
    <w:rsid w:val="00E92472"/>
    <w:rsid w:val="00E93CCD"/>
    <w:rsid w:val="00E943FA"/>
    <w:rsid w:val="00E94C9A"/>
    <w:rsid w:val="00E96695"/>
    <w:rsid w:val="00EA29DF"/>
    <w:rsid w:val="00EA4528"/>
    <w:rsid w:val="00EA6BFD"/>
    <w:rsid w:val="00EB5AAE"/>
    <w:rsid w:val="00EB5F7E"/>
    <w:rsid w:val="00EB62C0"/>
    <w:rsid w:val="00EB633A"/>
    <w:rsid w:val="00EC0FD6"/>
    <w:rsid w:val="00EC232D"/>
    <w:rsid w:val="00EC4050"/>
    <w:rsid w:val="00EC4A66"/>
    <w:rsid w:val="00EC5363"/>
    <w:rsid w:val="00EC5D60"/>
    <w:rsid w:val="00EC74C5"/>
    <w:rsid w:val="00ED2CFB"/>
    <w:rsid w:val="00ED36BC"/>
    <w:rsid w:val="00ED5F2D"/>
    <w:rsid w:val="00ED6A92"/>
    <w:rsid w:val="00ED7CC2"/>
    <w:rsid w:val="00EE166A"/>
    <w:rsid w:val="00EE2BC5"/>
    <w:rsid w:val="00EE2D4F"/>
    <w:rsid w:val="00EE34B7"/>
    <w:rsid w:val="00EE57A6"/>
    <w:rsid w:val="00EE6151"/>
    <w:rsid w:val="00EF00A3"/>
    <w:rsid w:val="00EF01B2"/>
    <w:rsid w:val="00EF5D22"/>
    <w:rsid w:val="00EF5E14"/>
    <w:rsid w:val="00EF6275"/>
    <w:rsid w:val="00EF656D"/>
    <w:rsid w:val="00EF67A1"/>
    <w:rsid w:val="00EF6EC9"/>
    <w:rsid w:val="00EF703A"/>
    <w:rsid w:val="00EF7F2F"/>
    <w:rsid w:val="00F00152"/>
    <w:rsid w:val="00F01784"/>
    <w:rsid w:val="00F024CB"/>
    <w:rsid w:val="00F03B31"/>
    <w:rsid w:val="00F04C5C"/>
    <w:rsid w:val="00F07FDF"/>
    <w:rsid w:val="00F12D3B"/>
    <w:rsid w:val="00F15883"/>
    <w:rsid w:val="00F16BBA"/>
    <w:rsid w:val="00F177D2"/>
    <w:rsid w:val="00F17B16"/>
    <w:rsid w:val="00F17B30"/>
    <w:rsid w:val="00F20BC1"/>
    <w:rsid w:val="00F20CC7"/>
    <w:rsid w:val="00F2220A"/>
    <w:rsid w:val="00F223C3"/>
    <w:rsid w:val="00F2336A"/>
    <w:rsid w:val="00F26110"/>
    <w:rsid w:val="00F3029B"/>
    <w:rsid w:val="00F31BD2"/>
    <w:rsid w:val="00F33583"/>
    <w:rsid w:val="00F33B46"/>
    <w:rsid w:val="00F34A6C"/>
    <w:rsid w:val="00F36311"/>
    <w:rsid w:val="00F377E9"/>
    <w:rsid w:val="00F4010A"/>
    <w:rsid w:val="00F408EA"/>
    <w:rsid w:val="00F40C2A"/>
    <w:rsid w:val="00F4181B"/>
    <w:rsid w:val="00F41847"/>
    <w:rsid w:val="00F41C1F"/>
    <w:rsid w:val="00F44BE6"/>
    <w:rsid w:val="00F44EF8"/>
    <w:rsid w:val="00F459A5"/>
    <w:rsid w:val="00F50FBA"/>
    <w:rsid w:val="00F5102E"/>
    <w:rsid w:val="00F51AF4"/>
    <w:rsid w:val="00F51C33"/>
    <w:rsid w:val="00F52546"/>
    <w:rsid w:val="00F52C6B"/>
    <w:rsid w:val="00F54E3F"/>
    <w:rsid w:val="00F56043"/>
    <w:rsid w:val="00F56D86"/>
    <w:rsid w:val="00F57AFF"/>
    <w:rsid w:val="00F61DBC"/>
    <w:rsid w:val="00F63D23"/>
    <w:rsid w:val="00F63E47"/>
    <w:rsid w:val="00F641D6"/>
    <w:rsid w:val="00F654D5"/>
    <w:rsid w:val="00F6676C"/>
    <w:rsid w:val="00F67667"/>
    <w:rsid w:val="00F67E80"/>
    <w:rsid w:val="00F70866"/>
    <w:rsid w:val="00F719F2"/>
    <w:rsid w:val="00F73C66"/>
    <w:rsid w:val="00F74471"/>
    <w:rsid w:val="00F744BE"/>
    <w:rsid w:val="00F750C5"/>
    <w:rsid w:val="00F75FBA"/>
    <w:rsid w:val="00F75FC8"/>
    <w:rsid w:val="00F76783"/>
    <w:rsid w:val="00F767B6"/>
    <w:rsid w:val="00F76EDC"/>
    <w:rsid w:val="00F77453"/>
    <w:rsid w:val="00F80908"/>
    <w:rsid w:val="00F84EF8"/>
    <w:rsid w:val="00F85A78"/>
    <w:rsid w:val="00F86601"/>
    <w:rsid w:val="00F878B1"/>
    <w:rsid w:val="00F90893"/>
    <w:rsid w:val="00F90BE5"/>
    <w:rsid w:val="00F90C15"/>
    <w:rsid w:val="00F91C63"/>
    <w:rsid w:val="00F92F1F"/>
    <w:rsid w:val="00F9443F"/>
    <w:rsid w:val="00F96A83"/>
    <w:rsid w:val="00F97D51"/>
    <w:rsid w:val="00FA0E20"/>
    <w:rsid w:val="00FA117B"/>
    <w:rsid w:val="00FA20E3"/>
    <w:rsid w:val="00FA2E56"/>
    <w:rsid w:val="00FA4C36"/>
    <w:rsid w:val="00FA6407"/>
    <w:rsid w:val="00FA72F2"/>
    <w:rsid w:val="00FA7C8B"/>
    <w:rsid w:val="00FB1195"/>
    <w:rsid w:val="00FB128B"/>
    <w:rsid w:val="00FB2E62"/>
    <w:rsid w:val="00FB3902"/>
    <w:rsid w:val="00FB60CE"/>
    <w:rsid w:val="00FB6398"/>
    <w:rsid w:val="00FB6A8E"/>
    <w:rsid w:val="00FC042E"/>
    <w:rsid w:val="00FC061D"/>
    <w:rsid w:val="00FC078D"/>
    <w:rsid w:val="00FC0EF3"/>
    <w:rsid w:val="00FC1ED2"/>
    <w:rsid w:val="00FC3204"/>
    <w:rsid w:val="00FC33B5"/>
    <w:rsid w:val="00FC3BD1"/>
    <w:rsid w:val="00FC740F"/>
    <w:rsid w:val="00FC7916"/>
    <w:rsid w:val="00FD198E"/>
    <w:rsid w:val="00FD1E79"/>
    <w:rsid w:val="00FD2AFE"/>
    <w:rsid w:val="00FD66E2"/>
    <w:rsid w:val="00FD7A4F"/>
    <w:rsid w:val="00FE08DC"/>
    <w:rsid w:val="00FE2019"/>
    <w:rsid w:val="00FE324F"/>
    <w:rsid w:val="00FE5DF3"/>
    <w:rsid w:val="00FE7085"/>
    <w:rsid w:val="00FF3BB9"/>
    <w:rsid w:val="00FF4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HTML Definition"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0B2"/>
    <w:pPr>
      <w:tabs>
        <w:tab w:val="left" w:pos="720"/>
        <w:tab w:val="left" w:pos="1440"/>
        <w:tab w:val="left" w:pos="2160"/>
        <w:tab w:val="left" w:pos="2880"/>
        <w:tab w:val="left" w:pos="3600"/>
        <w:tab w:val="left" w:pos="4320"/>
        <w:tab w:val="left" w:pos="5040"/>
      </w:tabs>
    </w:pPr>
    <w:rPr>
      <w:rFonts w:ascii="Arial" w:hAnsi="Arial"/>
      <w:lang w:eastAsia="en-US"/>
    </w:rPr>
  </w:style>
  <w:style w:type="paragraph" w:styleId="Heading1">
    <w:name w:val="heading 1"/>
    <w:basedOn w:val="Normal"/>
    <w:next w:val="Normal"/>
    <w:link w:val="Heading1Char"/>
    <w:qFormat/>
    <w:rsid w:val="008A7BFA"/>
    <w:pPr>
      <w:keepNext/>
      <w:keepLines/>
      <w:numPr>
        <w:ilvl w:val="1"/>
        <w:numId w:val="4"/>
      </w:numPr>
      <w:tabs>
        <w:tab w:val="clear" w:pos="720"/>
        <w:tab w:val="clear" w:pos="1440"/>
        <w:tab w:val="clear" w:pos="2160"/>
        <w:tab w:val="clear" w:pos="2880"/>
        <w:tab w:val="clear" w:pos="3600"/>
        <w:tab w:val="clear" w:pos="4320"/>
        <w:tab w:val="clear" w:pos="5040"/>
        <w:tab w:val="left" w:pos="709"/>
      </w:tabs>
      <w:spacing w:after="120" w:line="276" w:lineRule="auto"/>
      <w:ind w:left="709" w:hanging="709"/>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qFormat/>
    <w:rsid w:val="001B022D"/>
    <w:pPr>
      <w:keepNext/>
      <w:tabs>
        <w:tab w:val="clear" w:pos="5040"/>
      </w:tabs>
      <w:spacing w:before="60" w:after="60"/>
      <w:ind w:left="1440" w:right="-514" w:hanging="1440"/>
      <w:jc w:val="center"/>
      <w:outlineLvl w:val="1"/>
    </w:pPr>
    <w:rPr>
      <w:rFonts w:cs="Arial"/>
      <w:b/>
    </w:rPr>
  </w:style>
  <w:style w:type="paragraph" w:styleId="Heading3">
    <w:name w:val="heading 3"/>
    <w:basedOn w:val="Normal"/>
    <w:next w:val="Normal"/>
    <w:link w:val="Heading3Char"/>
    <w:semiHidden/>
    <w:unhideWhenUsed/>
    <w:qFormat/>
    <w:rsid w:val="003753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B022D"/>
    <w:pPr>
      <w:keepNext/>
      <w:tabs>
        <w:tab w:val="clear" w:pos="5040"/>
      </w:tabs>
      <w:ind w:left="1440" w:right="-514" w:hanging="1440"/>
      <w:outlineLvl w:val="3"/>
    </w:pPr>
    <w:rPr>
      <w:rFonts w:cs="Arial"/>
      <w:b/>
      <w:bCs/>
    </w:rPr>
  </w:style>
  <w:style w:type="paragraph" w:styleId="Heading6">
    <w:name w:val="heading 6"/>
    <w:basedOn w:val="Normal"/>
    <w:next w:val="Normal"/>
    <w:link w:val="Heading6Char"/>
    <w:qFormat/>
    <w:rsid w:val="001B022D"/>
    <w:pPr>
      <w:keepNext/>
      <w:tabs>
        <w:tab w:val="clear" w:pos="720"/>
        <w:tab w:val="clear" w:pos="1440"/>
        <w:tab w:val="clear" w:pos="2160"/>
        <w:tab w:val="clear" w:pos="2880"/>
        <w:tab w:val="clear" w:pos="3600"/>
        <w:tab w:val="clear" w:pos="4320"/>
        <w:tab w:val="clear" w:pos="5040"/>
      </w:tabs>
      <w:spacing w:before="40" w:after="40"/>
      <w:ind w:firstLine="12"/>
      <w:jc w:val="center"/>
      <w:outlineLvl w:val="5"/>
    </w:pPr>
    <w:rPr>
      <w:rFonts w:cs="Arial"/>
      <w:b/>
    </w:rPr>
  </w:style>
  <w:style w:type="paragraph" w:styleId="Heading7">
    <w:name w:val="heading 7"/>
    <w:basedOn w:val="Normal"/>
    <w:next w:val="Normal"/>
    <w:link w:val="Heading7Char"/>
    <w:qFormat/>
    <w:rsid w:val="001B022D"/>
    <w:pPr>
      <w:keepNext/>
      <w:tabs>
        <w:tab w:val="clear" w:pos="720"/>
        <w:tab w:val="clear" w:pos="1440"/>
        <w:tab w:val="clear" w:pos="2160"/>
        <w:tab w:val="clear" w:pos="2880"/>
        <w:tab w:val="clear" w:pos="3600"/>
        <w:tab w:val="clear" w:pos="4320"/>
        <w:tab w:val="clear" w:pos="5040"/>
      </w:tabs>
      <w:spacing w:before="60" w:after="60"/>
      <w:ind w:left="-18" w:right="-18" w:hanging="18"/>
      <w:jc w:val="center"/>
      <w:outlineLvl w:val="6"/>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pPr>
      <w:tabs>
        <w:tab w:val="clear" w:pos="720"/>
        <w:tab w:val="clear" w:pos="1440"/>
        <w:tab w:val="clear" w:pos="2160"/>
        <w:tab w:val="clear" w:pos="2880"/>
        <w:tab w:val="clear" w:pos="3600"/>
        <w:tab w:val="clear" w:pos="4320"/>
        <w:tab w:val="clear" w:pos="5040"/>
      </w:tabs>
    </w:pPr>
  </w:style>
  <w:style w:type="paragraph" w:styleId="Header">
    <w:name w:val="header"/>
    <w:basedOn w:val="Normal"/>
    <w:link w:val="HeaderChar"/>
    <w:pPr>
      <w:tabs>
        <w:tab w:val="clear" w:pos="720"/>
        <w:tab w:val="clear" w:pos="1440"/>
        <w:tab w:val="clear" w:pos="2160"/>
        <w:tab w:val="clear" w:pos="2880"/>
        <w:tab w:val="clear" w:pos="3600"/>
        <w:tab w:val="clear" w:pos="4320"/>
        <w:tab w:val="clear" w:pos="5040"/>
        <w:tab w:val="center" w:pos="4153"/>
        <w:tab w:val="right" w:pos="8306"/>
      </w:tabs>
    </w:pPr>
  </w:style>
  <w:style w:type="paragraph" w:styleId="Footer">
    <w:name w:val="footer"/>
    <w:basedOn w:val="Normal"/>
    <w:link w:val="FooterChar"/>
    <w:uiPriority w:val="99"/>
    <w:pPr>
      <w:tabs>
        <w:tab w:val="clear" w:pos="720"/>
        <w:tab w:val="clear" w:pos="1440"/>
        <w:tab w:val="clear" w:pos="2160"/>
        <w:tab w:val="clear" w:pos="2880"/>
        <w:tab w:val="clear" w:pos="3600"/>
        <w:tab w:val="clear" w:pos="4320"/>
        <w:tab w:val="clear" w:pos="5040"/>
        <w:tab w:val="center" w:pos="4153"/>
        <w:tab w:val="right" w:pos="8306"/>
      </w:tabs>
    </w:pPr>
  </w:style>
  <w:style w:type="character" w:styleId="Hyperlink">
    <w:name w:val="Hyperlink"/>
    <w:rsid w:val="00467AF1"/>
    <w:rPr>
      <w:color w:val="0000FF"/>
      <w:u w:val="single"/>
    </w:rPr>
  </w:style>
  <w:style w:type="character" w:styleId="Strong">
    <w:name w:val="Strong"/>
    <w:uiPriority w:val="22"/>
    <w:qFormat/>
    <w:rsid w:val="00F26110"/>
    <w:rPr>
      <w:b/>
      <w:bCs/>
    </w:rPr>
  </w:style>
  <w:style w:type="paragraph" w:styleId="BalloonText">
    <w:name w:val="Balloon Text"/>
    <w:basedOn w:val="Normal"/>
    <w:link w:val="BalloonTextChar"/>
    <w:rsid w:val="003E68EA"/>
    <w:rPr>
      <w:rFonts w:ascii="Tahoma" w:hAnsi="Tahoma" w:cs="Tahoma"/>
      <w:sz w:val="16"/>
      <w:szCs w:val="16"/>
    </w:rPr>
  </w:style>
  <w:style w:type="character" w:customStyle="1" w:styleId="BalloonTextChar">
    <w:name w:val="Balloon Text Char"/>
    <w:basedOn w:val="DefaultParagraphFont"/>
    <w:link w:val="BalloonText"/>
    <w:rsid w:val="003E68EA"/>
    <w:rPr>
      <w:rFonts w:ascii="Tahoma" w:hAnsi="Tahoma" w:cs="Tahoma"/>
      <w:sz w:val="16"/>
      <w:szCs w:val="16"/>
      <w:lang w:eastAsia="en-US"/>
    </w:rPr>
  </w:style>
  <w:style w:type="character" w:customStyle="1" w:styleId="Heading2Char">
    <w:name w:val="Heading 2 Char"/>
    <w:basedOn w:val="DefaultParagraphFont"/>
    <w:link w:val="Heading2"/>
    <w:rsid w:val="001B022D"/>
    <w:rPr>
      <w:rFonts w:ascii="Arial" w:hAnsi="Arial" w:cs="Arial"/>
      <w:b/>
      <w:lang w:eastAsia="en-US"/>
    </w:rPr>
  </w:style>
  <w:style w:type="character" w:customStyle="1" w:styleId="Heading4Char">
    <w:name w:val="Heading 4 Char"/>
    <w:basedOn w:val="DefaultParagraphFont"/>
    <w:link w:val="Heading4"/>
    <w:rsid w:val="001B022D"/>
    <w:rPr>
      <w:rFonts w:ascii="Arial" w:hAnsi="Arial" w:cs="Arial"/>
      <w:b/>
      <w:bCs/>
      <w:lang w:eastAsia="en-US"/>
    </w:rPr>
  </w:style>
  <w:style w:type="character" w:customStyle="1" w:styleId="Heading6Char">
    <w:name w:val="Heading 6 Char"/>
    <w:basedOn w:val="DefaultParagraphFont"/>
    <w:link w:val="Heading6"/>
    <w:rsid w:val="001B022D"/>
    <w:rPr>
      <w:rFonts w:ascii="Arial" w:hAnsi="Arial" w:cs="Arial"/>
      <w:b/>
      <w:lang w:eastAsia="en-US"/>
    </w:rPr>
  </w:style>
  <w:style w:type="character" w:customStyle="1" w:styleId="Heading7Char">
    <w:name w:val="Heading 7 Char"/>
    <w:basedOn w:val="DefaultParagraphFont"/>
    <w:link w:val="Heading7"/>
    <w:rsid w:val="001B022D"/>
    <w:rPr>
      <w:rFonts w:ascii="Arial" w:hAnsi="Arial" w:cs="Arial"/>
      <w:b/>
      <w:lang w:eastAsia="en-US"/>
    </w:rPr>
  </w:style>
  <w:style w:type="character" w:customStyle="1" w:styleId="HeaderChar">
    <w:name w:val="Header Char"/>
    <w:basedOn w:val="DefaultParagraphFont"/>
    <w:link w:val="Header"/>
    <w:rsid w:val="001B022D"/>
    <w:rPr>
      <w:rFonts w:ascii="Arial" w:hAnsi="Arial"/>
      <w:lang w:eastAsia="en-US"/>
    </w:rPr>
  </w:style>
  <w:style w:type="character" w:customStyle="1" w:styleId="FooterChar">
    <w:name w:val="Footer Char"/>
    <w:basedOn w:val="DefaultParagraphFont"/>
    <w:link w:val="Footer"/>
    <w:uiPriority w:val="99"/>
    <w:rsid w:val="001B022D"/>
    <w:rPr>
      <w:rFonts w:ascii="Arial" w:hAnsi="Arial"/>
      <w:lang w:eastAsia="en-US"/>
    </w:rPr>
  </w:style>
  <w:style w:type="paragraph" w:customStyle="1" w:styleId="BodyAgenda">
    <w:name w:val="BodyAgenda"/>
    <w:basedOn w:val="Normal"/>
    <w:rsid w:val="001B022D"/>
    <w:pPr>
      <w:tabs>
        <w:tab w:val="decimal" w:pos="360"/>
        <w:tab w:val="left" w:pos="5760"/>
        <w:tab w:val="left" w:pos="6480"/>
        <w:tab w:val="left" w:pos="7200"/>
        <w:tab w:val="left" w:pos="7920"/>
        <w:tab w:val="left" w:pos="8640"/>
      </w:tabs>
      <w:spacing w:before="240"/>
      <w:ind w:left="720" w:hanging="720"/>
    </w:pPr>
    <w:rPr>
      <w:rFonts w:ascii="Helv" w:hAnsi="Helv"/>
    </w:rPr>
  </w:style>
  <w:style w:type="paragraph" w:styleId="BodyText3">
    <w:name w:val="Body Text 3"/>
    <w:basedOn w:val="Normal"/>
    <w:link w:val="BodyText3Char"/>
    <w:rsid w:val="001B022D"/>
    <w:rPr>
      <w:rFonts w:ascii="Bookman Old Style" w:hAnsi="Bookman Old Style"/>
      <w:b/>
      <w:bCs/>
    </w:rPr>
  </w:style>
  <w:style w:type="character" w:customStyle="1" w:styleId="BodyText3Char">
    <w:name w:val="Body Text 3 Char"/>
    <w:basedOn w:val="DefaultParagraphFont"/>
    <w:link w:val="BodyText3"/>
    <w:rsid w:val="001B022D"/>
    <w:rPr>
      <w:rFonts w:ascii="Bookman Old Style" w:hAnsi="Bookman Old Style"/>
      <w:b/>
      <w:bCs/>
      <w:lang w:eastAsia="en-US"/>
    </w:rPr>
  </w:style>
  <w:style w:type="paragraph" w:styleId="ListParagraph">
    <w:name w:val="List Paragraph"/>
    <w:basedOn w:val="Normal"/>
    <w:link w:val="ListParagraphChar"/>
    <w:uiPriority w:val="34"/>
    <w:qFormat/>
    <w:rsid w:val="001B022D"/>
    <w:pPr>
      <w:tabs>
        <w:tab w:val="clear" w:pos="720"/>
        <w:tab w:val="clear" w:pos="1440"/>
        <w:tab w:val="clear" w:pos="2160"/>
        <w:tab w:val="clear" w:pos="2880"/>
        <w:tab w:val="clear" w:pos="3600"/>
        <w:tab w:val="clear" w:pos="4320"/>
        <w:tab w:val="clear" w:pos="5040"/>
      </w:tabs>
      <w:spacing w:after="200" w:line="276" w:lineRule="auto"/>
      <w:ind w:left="720"/>
      <w:contextualSpacing/>
    </w:pPr>
    <w:rPr>
      <w:rFonts w:ascii="Calibri" w:hAnsi="Calibri"/>
      <w:sz w:val="22"/>
      <w:szCs w:val="22"/>
    </w:rPr>
  </w:style>
  <w:style w:type="paragraph" w:styleId="Title">
    <w:name w:val="Title"/>
    <w:basedOn w:val="Normal"/>
    <w:link w:val="TitleChar"/>
    <w:qFormat/>
    <w:rsid w:val="001B022D"/>
    <w:pPr>
      <w:jc w:val="center"/>
    </w:pPr>
    <w:rPr>
      <w:u w:val="single"/>
    </w:rPr>
  </w:style>
  <w:style w:type="character" w:customStyle="1" w:styleId="TitleChar">
    <w:name w:val="Title Char"/>
    <w:basedOn w:val="DefaultParagraphFont"/>
    <w:link w:val="Title"/>
    <w:rsid w:val="001B022D"/>
    <w:rPr>
      <w:rFonts w:ascii="Arial" w:hAnsi="Arial"/>
      <w:u w:val="single"/>
      <w:lang w:eastAsia="en-US"/>
    </w:rPr>
  </w:style>
  <w:style w:type="character" w:customStyle="1" w:styleId="ListParagraphChar">
    <w:name w:val="List Paragraph Char"/>
    <w:link w:val="ListParagraph"/>
    <w:uiPriority w:val="99"/>
    <w:locked/>
    <w:rsid w:val="001B022D"/>
    <w:rPr>
      <w:rFonts w:ascii="Calibri" w:hAnsi="Calibri"/>
      <w:sz w:val="22"/>
      <w:szCs w:val="22"/>
      <w:lang w:eastAsia="en-US"/>
    </w:rPr>
  </w:style>
  <w:style w:type="paragraph" w:customStyle="1" w:styleId="Default">
    <w:name w:val="Default"/>
    <w:rsid w:val="001B022D"/>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1B022D"/>
    <w:pPr>
      <w:spacing w:after="120"/>
      <w:ind w:left="283"/>
    </w:pPr>
  </w:style>
  <w:style w:type="character" w:customStyle="1" w:styleId="BodyTextIndentChar">
    <w:name w:val="Body Text Indent Char"/>
    <w:basedOn w:val="DefaultParagraphFont"/>
    <w:link w:val="BodyTextIndent"/>
    <w:rsid w:val="001B022D"/>
    <w:rPr>
      <w:rFonts w:ascii="Arial" w:hAnsi="Arial"/>
      <w:lang w:eastAsia="en-US"/>
    </w:rPr>
  </w:style>
  <w:style w:type="paragraph" w:styleId="BodyText">
    <w:name w:val="Body Text"/>
    <w:basedOn w:val="Normal"/>
    <w:link w:val="BodyTextChar"/>
    <w:uiPriority w:val="1"/>
    <w:qFormat/>
    <w:rsid w:val="001B022D"/>
    <w:pPr>
      <w:spacing w:after="120"/>
    </w:pPr>
  </w:style>
  <w:style w:type="character" w:customStyle="1" w:styleId="BodyTextChar">
    <w:name w:val="Body Text Char"/>
    <w:basedOn w:val="DefaultParagraphFont"/>
    <w:link w:val="BodyText"/>
    <w:uiPriority w:val="1"/>
    <w:rsid w:val="001B022D"/>
    <w:rPr>
      <w:rFonts w:ascii="Arial" w:hAnsi="Arial"/>
      <w:lang w:eastAsia="en-US"/>
    </w:rPr>
  </w:style>
  <w:style w:type="table" w:styleId="TableGrid">
    <w:name w:val="Table Grid"/>
    <w:basedOn w:val="TableNormal"/>
    <w:rsid w:val="001B022D"/>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senrhsennumparatext">
    <w:name w:val="ends enrhs ennumparatext"/>
    <w:basedOn w:val="DefaultParagraphFont"/>
    <w:rsid w:val="00872B37"/>
  </w:style>
  <w:style w:type="paragraph" w:styleId="FootnoteText">
    <w:name w:val="footnote text"/>
    <w:basedOn w:val="Normal"/>
    <w:link w:val="FootnoteTextChar"/>
    <w:unhideWhenUsed/>
    <w:rsid w:val="00E4271B"/>
    <w:pPr>
      <w:tabs>
        <w:tab w:val="clear" w:pos="720"/>
        <w:tab w:val="clear" w:pos="1440"/>
        <w:tab w:val="clear" w:pos="2160"/>
        <w:tab w:val="clear" w:pos="2880"/>
        <w:tab w:val="clear" w:pos="3600"/>
        <w:tab w:val="clear" w:pos="4320"/>
        <w:tab w:val="clear" w:pos="5040"/>
      </w:tabs>
    </w:pPr>
    <w:rPr>
      <w:rFonts w:asciiTheme="minorHAnsi" w:eastAsiaTheme="minorHAnsi" w:hAnsiTheme="minorHAnsi" w:cstheme="minorBidi"/>
    </w:rPr>
  </w:style>
  <w:style w:type="character" w:customStyle="1" w:styleId="FootnoteTextChar">
    <w:name w:val="Footnote Text Char"/>
    <w:basedOn w:val="DefaultParagraphFont"/>
    <w:link w:val="FootnoteText"/>
    <w:rsid w:val="00E4271B"/>
    <w:rPr>
      <w:rFonts w:asciiTheme="minorHAnsi" w:eastAsiaTheme="minorHAnsi" w:hAnsiTheme="minorHAnsi" w:cstheme="minorBidi"/>
      <w:lang w:eastAsia="en-US"/>
    </w:rPr>
  </w:style>
  <w:style w:type="character" w:styleId="FootnoteReference">
    <w:name w:val="footnote reference"/>
    <w:basedOn w:val="DefaultParagraphFont"/>
    <w:unhideWhenUsed/>
    <w:rsid w:val="00E4271B"/>
    <w:rPr>
      <w:vertAlign w:val="superscript"/>
    </w:rPr>
  </w:style>
  <w:style w:type="paragraph" w:styleId="NormalWeb">
    <w:name w:val="Normal (Web)"/>
    <w:basedOn w:val="Normal"/>
    <w:uiPriority w:val="99"/>
    <w:unhideWhenUsed/>
    <w:rsid w:val="009F5916"/>
    <w:pPr>
      <w:tabs>
        <w:tab w:val="clear" w:pos="720"/>
        <w:tab w:val="clear" w:pos="1440"/>
        <w:tab w:val="clear" w:pos="2160"/>
        <w:tab w:val="clear" w:pos="2880"/>
        <w:tab w:val="clear" w:pos="3600"/>
        <w:tab w:val="clear" w:pos="4320"/>
        <w:tab w:val="clear" w:pos="5040"/>
      </w:tabs>
      <w:spacing w:before="100" w:beforeAutospacing="1" w:after="100" w:afterAutospacing="1"/>
    </w:pPr>
    <w:rPr>
      <w:rFonts w:ascii="Times New Roman" w:hAnsi="Times New Roman"/>
      <w:sz w:val="24"/>
      <w:szCs w:val="24"/>
      <w:lang w:eastAsia="en-GB"/>
    </w:rPr>
  </w:style>
  <w:style w:type="paragraph" w:styleId="BodyTextIndent2">
    <w:name w:val="Body Text Indent 2"/>
    <w:basedOn w:val="Normal"/>
    <w:link w:val="BodyTextIndent2Char"/>
    <w:unhideWhenUsed/>
    <w:rsid w:val="00CE4AFE"/>
    <w:pPr>
      <w:spacing w:after="120" w:line="480" w:lineRule="auto"/>
      <w:ind w:left="283"/>
    </w:pPr>
  </w:style>
  <w:style w:type="character" w:customStyle="1" w:styleId="BodyTextIndent2Char">
    <w:name w:val="Body Text Indent 2 Char"/>
    <w:basedOn w:val="DefaultParagraphFont"/>
    <w:link w:val="BodyTextIndent2"/>
    <w:rsid w:val="00CE4AFE"/>
    <w:rPr>
      <w:rFonts w:ascii="Arial" w:hAnsi="Arial"/>
      <w:lang w:eastAsia="en-US"/>
    </w:rPr>
  </w:style>
  <w:style w:type="paragraph" w:styleId="BodyTextIndent3">
    <w:name w:val="Body Text Indent 3"/>
    <w:basedOn w:val="Normal"/>
    <w:link w:val="BodyTextIndent3Char"/>
    <w:unhideWhenUsed/>
    <w:rsid w:val="00CE4AFE"/>
    <w:pPr>
      <w:spacing w:after="120"/>
      <w:ind w:left="283"/>
    </w:pPr>
    <w:rPr>
      <w:sz w:val="16"/>
      <w:szCs w:val="16"/>
    </w:rPr>
  </w:style>
  <w:style w:type="character" w:customStyle="1" w:styleId="BodyTextIndent3Char">
    <w:name w:val="Body Text Indent 3 Char"/>
    <w:basedOn w:val="DefaultParagraphFont"/>
    <w:link w:val="BodyTextIndent3"/>
    <w:rsid w:val="00CE4AFE"/>
    <w:rPr>
      <w:rFonts w:ascii="Arial" w:hAnsi="Arial"/>
      <w:sz w:val="16"/>
      <w:szCs w:val="16"/>
      <w:lang w:eastAsia="en-US"/>
    </w:rPr>
  </w:style>
  <w:style w:type="paragraph" w:styleId="BlockText">
    <w:name w:val="Block Text"/>
    <w:basedOn w:val="Normal"/>
    <w:rsid w:val="00BC2AB5"/>
    <w:pPr>
      <w:tabs>
        <w:tab w:val="clear" w:pos="720"/>
        <w:tab w:val="clear" w:pos="1440"/>
        <w:tab w:val="clear" w:pos="2880"/>
        <w:tab w:val="clear" w:pos="5040"/>
        <w:tab w:val="left" w:pos="180"/>
      </w:tabs>
      <w:ind w:left="720" w:right="386" w:hanging="720"/>
      <w:jc w:val="both"/>
    </w:pPr>
    <w:rPr>
      <w:rFonts w:cs="Arial"/>
      <w:b/>
      <w:bCs/>
      <w:sz w:val="24"/>
      <w:u w:val="single"/>
    </w:rPr>
  </w:style>
  <w:style w:type="paragraph" w:styleId="BodyText2">
    <w:name w:val="Body Text 2"/>
    <w:basedOn w:val="Normal"/>
    <w:link w:val="BodyText2Char"/>
    <w:rsid w:val="003241E4"/>
    <w:pPr>
      <w:tabs>
        <w:tab w:val="clear" w:pos="720"/>
        <w:tab w:val="clear" w:pos="1440"/>
        <w:tab w:val="clear" w:pos="2160"/>
        <w:tab w:val="clear" w:pos="2880"/>
        <w:tab w:val="clear" w:pos="3600"/>
        <w:tab w:val="clear" w:pos="4320"/>
        <w:tab w:val="clear" w:pos="5040"/>
      </w:tabs>
      <w:spacing w:after="120" w:line="480" w:lineRule="auto"/>
    </w:pPr>
    <w:rPr>
      <w:rFonts w:ascii="Times New Roman" w:hAnsi="Times New Roman"/>
    </w:rPr>
  </w:style>
  <w:style w:type="character" w:customStyle="1" w:styleId="BodyText2Char">
    <w:name w:val="Body Text 2 Char"/>
    <w:basedOn w:val="DefaultParagraphFont"/>
    <w:link w:val="BodyText2"/>
    <w:rsid w:val="003241E4"/>
    <w:rPr>
      <w:rFonts w:ascii="Times New Roman" w:hAnsi="Times New Roman"/>
      <w:lang w:eastAsia="en-US"/>
    </w:rPr>
  </w:style>
  <w:style w:type="paragraph" w:styleId="Subtitle">
    <w:name w:val="Subtitle"/>
    <w:basedOn w:val="ListParagraph"/>
    <w:next w:val="Normal"/>
    <w:link w:val="SubtitleChar"/>
    <w:qFormat/>
    <w:rsid w:val="00ED2CFB"/>
    <w:pPr>
      <w:numPr>
        <w:numId w:val="1"/>
      </w:numPr>
      <w:tabs>
        <w:tab w:val="left" w:pos="709"/>
      </w:tabs>
      <w:spacing w:after="120"/>
    </w:pPr>
    <w:rPr>
      <w:rFonts w:ascii="Arial" w:hAnsi="Arial" w:cs="Arial"/>
      <w:b/>
      <w:sz w:val="28"/>
      <w:szCs w:val="28"/>
    </w:rPr>
  </w:style>
  <w:style w:type="character" w:customStyle="1" w:styleId="SubtitleChar">
    <w:name w:val="Subtitle Char"/>
    <w:basedOn w:val="DefaultParagraphFont"/>
    <w:link w:val="Subtitle"/>
    <w:rsid w:val="00ED2CFB"/>
    <w:rPr>
      <w:rFonts w:ascii="Arial" w:hAnsi="Arial" w:cs="Arial"/>
      <w:b/>
      <w:sz w:val="28"/>
      <w:szCs w:val="28"/>
      <w:lang w:eastAsia="en-US"/>
    </w:rPr>
  </w:style>
  <w:style w:type="character" w:customStyle="1" w:styleId="Heading3Char">
    <w:name w:val="Heading 3 Char"/>
    <w:basedOn w:val="DefaultParagraphFont"/>
    <w:link w:val="Heading3"/>
    <w:semiHidden/>
    <w:rsid w:val="00375382"/>
    <w:rPr>
      <w:rFonts w:asciiTheme="majorHAnsi" w:eastAsiaTheme="majorEastAsia" w:hAnsiTheme="majorHAnsi" w:cstheme="majorBidi"/>
      <w:b/>
      <w:bCs/>
      <w:color w:val="4F81BD" w:themeColor="accent1"/>
      <w:lang w:eastAsia="en-US"/>
    </w:rPr>
  </w:style>
  <w:style w:type="paragraph" w:customStyle="1" w:styleId="ChapterHeading">
    <w:name w:val="Chapter Heading"/>
    <w:basedOn w:val="Normal"/>
    <w:uiPriority w:val="99"/>
    <w:semiHidden/>
    <w:rsid w:val="00375382"/>
    <w:pPr>
      <w:pageBreakBefore/>
      <w:numPr>
        <w:numId w:val="2"/>
      </w:numPr>
      <w:tabs>
        <w:tab w:val="clear" w:pos="720"/>
        <w:tab w:val="clear" w:pos="1440"/>
        <w:tab w:val="clear" w:pos="2160"/>
        <w:tab w:val="clear" w:pos="2880"/>
        <w:tab w:val="clear" w:pos="3600"/>
        <w:tab w:val="clear" w:pos="4320"/>
        <w:tab w:val="clear" w:pos="5040"/>
      </w:tabs>
      <w:spacing w:before="120" w:after="120"/>
      <w:jc w:val="both"/>
    </w:pPr>
    <w:rPr>
      <w:rFonts w:ascii="Calibri" w:hAnsi="Calibri" w:cs="Arial"/>
      <w:b/>
      <w:noProof/>
      <w:spacing w:val="-5"/>
      <w:sz w:val="36"/>
      <w:szCs w:val="36"/>
    </w:rPr>
  </w:style>
  <w:style w:type="paragraph" w:customStyle="1" w:styleId="Subheading">
    <w:name w:val="Subheading"/>
    <w:basedOn w:val="BodyText"/>
    <w:uiPriority w:val="99"/>
    <w:semiHidden/>
    <w:rsid w:val="00375382"/>
    <w:pPr>
      <w:numPr>
        <w:ilvl w:val="1"/>
        <w:numId w:val="2"/>
      </w:numPr>
      <w:tabs>
        <w:tab w:val="clear" w:pos="720"/>
        <w:tab w:val="clear" w:pos="1440"/>
        <w:tab w:val="clear" w:pos="2160"/>
        <w:tab w:val="clear" w:pos="2880"/>
        <w:tab w:val="clear" w:pos="3600"/>
        <w:tab w:val="clear" w:pos="4320"/>
        <w:tab w:val="clear" w:pos="5040"/>
      </w:tabs>
      <w:spacing w:before="270" w:after="180"/>
      <w:jc w:val="both"/>
    </w:pPr>
    <w:rPr>
      <w:rFonts w:cs="Arial"/>
      <w:b/>
      <w:noProof/>
      <w:sz w:val="22"/>
      <w:szCs w:val="22"/>
    </w:rPr>
  </w:style>
  <w:style w:type="paragraph" w:customStyle="1" w:styleId="subhead">
    <w:name w:val="subhead"/>
    <w:basedOn w:val="Subheading"/>
    <w:link w:val="subheadChar"/>
    <w:uiPriority w:val="99"/>
    <w:rsid w:val="00375382"/>
  </w:style>
  <w:style w:type="character" w:customStyle="1" w:styleId="subheadChar">
    <w:name w:val="subhead Char"/>
    <w:link w:val="subhead"/>
    <w:uiPriority w:val="99"/>
    <w:locked/>
    <w:rsid w:val="00375382"/>
    <w:rPr>
      <w:rFonts w:ascii="Arial" w:hAnsi="Arial" w:cs="Arial"/>
      <w:b/>
      <w:noProof/>
      <w:sz w:val="22"/>
      <w:szCs w:val="22"/>
      <w:lang w:eastAsia="en-US"/>
    </w:rPr>
  </w:style>
  <w:style w:type="paragraph" w:customStyle="1" w:styleId="Body">
    <w:name w:val="Body"/>
    <w:uiPriority w:val="99"/>
    <w:rsid w:val="00264C62"/>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Mainnumber">
    <w:name w:val="Main number"/>
    <w:basedOn w:val="Normal"/>
    <w:qFormat/>
    <w:rsid w:val="00FC3204"/>
    <w:pPr>
      <w:numPr>
        <w:numId w:val="3"/>
      </w:numPr>
      <w:tabs>
        <w:tab w:val="clear" w:pos="1440"/>
        <w:tab w:val="clear" w:pos="2160"/>
        <w:tab w:val="clear" w:pos="2880"/>
        <w:tab w:val="clear" w:pos="3600"/>
        <w:tab w:val="clear" w:pos="4320"/>
        <w:tab w:val="clear" w:pos="5040"/>
      </w:tabs>
      <w:spacing w:after="120"/>
    </w:pPr>
    <w:rPr>
      <w:rFonts w:cs="Arial"/>
      <w:b/>
      <w:bCs/>
      <w:sz w:val="24"/>
      <w:szCs w:val="24"/>
    </w:rPr>
  </w:style>
  <w:style w:type="paragraph" w:customStyle="1" w:styleId="Subnumber">
    <w:name w:val="Sub number"/>
    <w:basedOn w:val="Normal"/>
    <w:link w:val="SubnumberChar"/>
    <w:qFormat/>
    <w:rsid w:val="00FC3204"/>
    <w:pPr>
      <w:numPr>
        <w:ilvl w:val="1"/>
        <w:numId w:val="3"/>
      </w:numPr>
      <w:tabs>
        <w:tab w:val="clear" w:pos="1440"/>
        <w:tab w:val="clear" w:pos="2160"/>
        <w:tab w:val="clear" w:pos="2880"/>
        <w:tab w:val="clear" w:pos="3600"/>
        <w:tab w:val="clear" w:pos="4320"/>
        <w:tab w:val="clear" w:pos="5040"/>
      </w:tabs>
      <w:spacing w:after="120"/>
    </w:pPr>
    <w:rPr>
      <w:rFonts w:cs="Arial"/>
      <w:sz w:val="24"/>
      <w:szCs w:val="24"/>
    </w:rPr>
  </w:style>
  <w:style w:type="character" w:customStyle="1" w:styleId="SubnumberChar">
    <w:name w:val="Sub number Char"/>
    <w:basedOn w:val="DefaultParagraphFont"/>
    <w:link w:val="Subnumber"/>
    <w:rsid w:val="00FC3204"/>
    <w:rPr>
      <w:rFonts w:ascii="Arial" w:hAnsi="Arial" w:cs="Arial"/>
      <w:sz w:val="24"/>
      <w:szCs w:val="24"/>
      <w:lang w:eastAsia="en-US"/>
    </w:rPr>
  </w:style>
  <w:style w:type="paragraph" w:customStyle="1" w:styleId="CM8">
    <w:name w:val="CM8"/>
    <w:basedOn w:val="Default"/>
    <w:next w:val="Default"/>
    <w:rsid w:val="002679B5"/>
    <w:pPr>
      <w:spacing w:line="433" w:lineRule="atLeast"/>
    </w:pPr>
    <w:rPr>
      <w:rFonts w:cs="Times New Roman"/>
      <w:color w:val="auto"/>
    </w:rPr>
  </w:style>
  <w:style w:type="paragraph" w:customStyle="1" w:styleId="CM28">
    <w:name w:val="CM28"/>
    <w:basedOn w:val="Default"/>
    <w:next w:val="Default"/>
    <w:uiPriority w:val="99"/>
    <w:rsid w:val="002679B5"/>
    <w:rPr>
      <w:rFonts w:eastAsia="Calibri"/>
      <w:color w:val="auto"/>
      <w:lang w:eastAsia="en-US"/>
    </w:rPr>
  </w:style>
  <w:style w:type="paragraph" w:customStyle="1" w:styleId="CM46">
    <w:name w:val="CM46"/>
    <w:basedOn w:val="Default"/>
    <w:next w:val="Default"/>
    <w:uiPriority w:val="99"/>
    <w:rsid w:val="002679B5"/>
    <w:rPr>
      <w:rFonts w:eastAsia="Calibri"/>
      <w:color w:val="auto"/>
      <w:lang w:eastAsia="en-US"/>
    </w:rPr>
  </w:style>
  <w:style w:type="paragraph" w:customStyle="1" w:styleId="CM21">
    <w:name w:val="CM21"/>
    <w:basedOn w:val="Default"/>
    <w:next w:val="Default"/>
    <w:uiPriority w:val="99"/>
    <w:rsid w:val="002679B5"/>
    <w:pPr>
      <w:spacing w:line="233" w:lineRule="atLeast"/>
    </w:pPr>
    <w:rPr>
      <w:rFonts w:eastAsia="Calibri"/>
      <w:color w:val="auto"/>
      <w:lang w:eastAsia="en-US"/>
    </w:rPr>
  </w:style>
  <w:style w:type="paragraph" w:customStyle="1" w:styleId="CM43">
    <w:name w:val="CM43"/>
    <w:basedOn w:val="Default"/>
    <w:next w:val="Default"/>
    <w:uiPriority w:val="99"/>
    <w:rsid w:val="002679B5"/>
    <w:rPr>
      <w:rFonts w:eastAsia="Calibri"/>
      <w:color w:val="auto"/>
      <w:lang w:eastAsia="en-US"/>
    </w:rPr>
  </w:style>
  <w:style w:type="paragraph" w:customStyle="1" w:styleId="CM38">
    <w:name w:val="CM38"/>
    <w:basedOn w:val="Default"/>
    <w:next w:val="Default"/>
    <w:uiPriority w:val="99"/>
    <w:rsid w:val="002679B5"/>
    <w:pPr>
      <w:spacing w:line="458" w:lineRule="atLeast"/>
    </w:pPr>
    <w:rPr>
      <w:rFonts w:eastAsia="Calibri"/>
      <w:color w:val="auto"/>
      <w:lang w:eastAsia="en-US"/>
    </w:rPr>
  </w:style>
  <w:style w:type="paragraph" w:customStyle="1" w:styleId="CM62">
    <w:name w:val="CM62"/>
    <w:basedOn w:val="Normal"/>
    <w:next w:val="Normal"/>
    <w:uiPriority w:val="99"/>
    <w:rsid w:val="002679B5"/>
    <w:pPr>
      <w:tabs>
        <w:tab w:val="clear" w:pos="720"/>
        <w:tab w:val="clear" w:pos="1440"/>
        <w:tab w:val="clear" w:pos="2160"/>
        <w:tab w:val="clear" w:pos="2880"/>
        <w:tab w:val="clear" w:pos="3600"/>
        <w:tab w:val="clear" w:pos="4320"/>
        <w:tab w:val="clear" w:pos="5040"/>
      </w:tabs>
      <w:autoSpaceDE w:val="0"/>
      <w:autoSpaceDN w:val="0"/>
      <w:adjustRightInd w:val="0"/>
    </w:pPr>
    <w:rPr>
      <w:rFonts w:ascii="Helvetica 45 Light" w:eastAsiaTheme="minorHAnsi" w:hAnsi="Helvetica 45 Light" w:cstheme="minorBidi"/>
      <w:sz w:val="24"/>
      <w:szCs w:val="24"/>
    </w:rPr>
  </w:style>
  <w:style w:type="character" w:customStyle="1" w:styleId="st1">
    <w:name w:val="st1"/>
    <w:basedOn w:val="DefaultParagraphFont"/>
    <w:rsid w:val="002679B5"/>
  </w:style>
  <w:style w:type="paragraph" w:customStyle="1" w:styleId="Pa11">
    <w:name w:val="Pa11"/>
    <w:basedOn w:val="Default"/>
    <w:next w:val="Default"/>
    <w:uiPriority w:val="99"/>
    <w:rsid w:val="002679B5"/>
    <w:pPr>
      <w:spacing w:line="221" w:lineRule="atLeast"/>
    </w:pPr>
    <w:rPr>
      <w:rFonts w:ascii="Helvetica 55 Roman" w:eastAsiaTheme="minorHAnsi" w:hAnsi="Helvetica 55 Roman" w:cstheme="minorBidi"/>
      <w:color w:val="auto"/>
      <w:lang w:eastAsia="en-US"/>
    </w:rPr>
  </w:style>
  <w:style w:type="paragraph" w:customStyle="1" w:styleId="Pa12">
    <w:name w:val="Pa12"/>
    <w:basedOn w:val="Default"/>
    <w:next w:val="Default"/>
    <w:uiPriority w:val="99"/>
    <w:rsid w:val="002679B5"/>
    <w:pPr>
      <w:spacing w:line="201" w:lineRule="atLeast"/>
    </w:pPr>
    <w:rPr>
      <w:rFonts w:ascii="Helvetica 55 Roman" w:eastAsiaTheme="minorHAnsi" w:hAnsi="Helvetica 55 Roman" w:cstheme="minorBidi"/>
      <w:color w:val="auto"/>
      <w:lang w:eastAsia="en-US"/>
    </w:rPr>
  </w:style>
  <w:style w:type="paragraph" w:customStyle="1" w:styleId="Pa13">
    <w:name w:val="Pa13"/>
    <w:basedOn w:val="Default"/>
    <w:next w:val="Default"/>
    <w:uiPriority w:val="99"/>
    <w:rsid w:val="002679B5"/>
    <w:pPr>
      <w:spacing w:line="201" w:lineRule="atLeast"/>
    </w:pPr>
    <w:rPr>
      <w:rFonts w:ascii="Helvetica 55 Roman" w:eastAsiaTheme="minorHAnsi" w:hAnsi="Helvetica 55 Roman" w:cstheme="minorBidi"/>
      <w:color w:val="auto"/>
      <w:lang w:eastAsia="en-US"/>
    </w:rPr>
  </w:style>
  <w:style w:type="paragraph" w:customStyle="1" w:styleId="yiv3963226381msolistparagraph">
    <w:name w:val="yiv3963226381msolistparagraph"/>
    <w:basedOn w:val="Normal"/>
    <w:rsid w:val="00AF46B5"/>
    <w:pPr>
      <w:tabs>
        <w:tab w:val="clear" w:pos="720"/>
        <w:tab w:val="clear" w:pos="1440"/>
        <w:tab w:val="clear" w:pos="2160"/>
        <w:tab w:val="clear" w:pos="2880"/>
        <w:tab w:val="clear" w:pos="3600"/>
        <w:tab w:val="clear" w:pos="4320"/>
        <w:tab w:val="clear" w:pos="5040"/>
      </w:tabs>
      <w:spacing w:before="100" w:beforeAutospacing="1" w:after="100" w:afterAutospacing="1"/>
    </w:pPr>
    <w:rPr>
      <w:rFonts w:ascii="Times New Roman" w:hAnsi="Times New Roman"/>
      <w:sz w:val="24"/>
      <w:szCs w:val="24"/>
      <w:lang w:eastAsia="en-GB"/>
    </w:rPr>
  </w:style>
  <w:style w:type="paragraph" w:customStyle="1" w:styleId="font0">
    <w:name w:val="font0"/>
    <w:basedOn w:val="Normal"/>
    <w:uiPriority w:val="99"/>
    <w:rsid w:val="00D94E13"/>
    <w:pPr>
      <w:tabs>
        <w:tab w:val="clear" w:pos="720"/>
        <w:tab w:val="clear" w:pos="1440"/>
        <w:tab w:val="clear" w:pos="2160"/>
        <w:tab w:val="clear" w:pos="2880"/>
        <w:tab w:val="clear" w:pos="3600"/>
        <w:tab w:val="clear" w:pos="4320"/>
        <w:tab w:val="clear" w:pos="5040"/>
      </w:tabs>
      <w:spacing w:before="100" w:after="100"/>
    </w:pPr>
    <w:rPr>
      <w:rFonts w:eastAsia="Arial Unicode MS" w:cs="Arial"/>
    </w:rPr>
  </w:style>
  <w:style w:type="character" w:styleId="Emphasis">
    <w:name w:val="Emphasis"/>
    <w:basedOn w:val="DefaultParagraphFont"/>
    <w:uiPriority w:val="20"/>
    <w:qFormat/>
    <w:rsid w:val="00D94E13"/>
    <w:rPr>
      <w:b/>
      <w:bCs/>
      <w:i w:val="0"/>
      <w:iCs w:val="0"/>
    </w:rPr>
  </w:style>
  <w:style w:type="character" w:customStyle="1" w:styleId="Heading1Char">
    <w:name w:val="Heading 1 Char"/>
    <w:basedOn w:val="DefaultParagraphFont"/>
    <w:link w:val="Heading1"/>
    <w:rsid w:val="008A7BFA"/>
    <w:rPr>
      <w:rFonts w:asciiTheme="majorHAnsi" w:eastAsiaTheme="majorEastAsia" w:hAnsiTheme="majorHAnsi" w:cstheme="majorBidi"/>
      <w:b/>
      <w:bCs/>
      <w:sz w:val="28"/>
      <w:szCs w:val="28"/>
      <w:lang w:eastAsia="en-US"/>
    </w:rPr>
  </w:style>
  <w:style w:type="character" w:styleId="CommentReference">
    <w:name w:val="annotation reference"/>
    <w:basedOn w:val="DefaultParagraphFont"/>
    <w:rsid w:val="008A7BFA"/>
    <w:rPr>
      <w:sz w:val="16"/>
      <w:szCs w:val="16"/>
    </w:rPr>
  </w:style>
  <w:style w:type="paragraph" w:styleId="CommentText">
    <w:name w:val="annotation text"/>
    <w:basedOn w:val="Normal"/>
    <w:link w:val="CommentTextChar"/>
    <w:rsid w:val="008A7BFA"/>
    <w:pPr>
      <w:numPr>
        <w:ilvl w:val="1"/>
      </w:numPr>
      <w:tabs>
        <w:tab w:val="clear" w:pos="2880"/>
        <w:tab w:val="clear" w:pos="3600"/>
        <w:tab w:val="clear" w:pos="4320"/>
        <w:tab w:val="clear" w:pos="5040"/>
      </w:tabs>
      <w:spacing w:line="276" w:lineRule="auto"/>
      <w:contextualSpacing/>
    </w:pPr>
  </w:style>
  <w:style w:type="character" w:customStyle="1" w:styleId="CommentTextChar">
    <w:name w:val="Comment Text Char"/>
    <w:basedOn w:val="DefaultParagraphFont"/>
    <w:link w:val="CommentText"/>
    <w:rsid w:val="008A7BFA"/>
    <w:rPr>
      <w:rFonts w:ascii="Arial" w:hAnsi="Arial"/>
      <w:lang w:eastAsia="en-US"/>
    </w:rPr>
  </w:style>
  <w:style w:type="paragraph" w:customStyle="1" w:styleId="EYBodytextwithparaspace">
    <w:name w:val="EY Body text (with para space)"/>
    <w:basedOn w:val="Normal"/>
    <w:link w:val="EYBodytextwithparaspaceChar"/>
    <w:rsid w:val="008A7BFA"/>
    <w:pPr>
      <w:tabs>
        <w:tab w:val="clear" w:pos="720"/>
        <w:tab w:val="clear" w:pos="1440"/>
        <w:tab w:val="clear" w:pos="2160"/>
        <w:tab w:val="clear" w:pos="2880"/>
        <w:tab w:val="clear" w:pos="3600"/>
        <w:tab w:val="clear" w:pos="4320"/>
        <w:tab w:val="clear" w:pos="5040"/>
      </w:tabs>
      <w:suppressAutoHyphens/>
      <w:spacing w:after="240"/>
    </w:pPr>
    <w:rPr>
      <w:rFonts w:cs="Arial"/>
      <w:kern w:val="12"/>
      <w:szCs w:val="24"/>
    </w:rPr>
  </w:style>
  <w:style w:type="character" w:customStyle="1" w:styleId="EYBodytextwithparaspaceChar">
    <w:name w:val="EY Body text (with para space) Char"/>
    <w:basedOn w:val="DefaultParagraphFont"/>
    <w:link w:val="EYBodytextwithparaspace"/>
    <w:rsid w:val="008A7BFA"/>
    <w:rPr>
      <w:rFonts w:ascii="Arial" w:hAnsi="Arial" w:cs="Arial"/>
      <w:kern w:val="12"/>
      <w:szCs w:val="24"/>
      <w:lang w:eastAsia="en-US"/>
    </w:rPr>
  </w:style>
  <w:style w:type="paragraph" w:customStyle="1" w:styleId="EYNumber">
    <w:name w:val="EY Number"/>
    <w:basedOn w:val="Normal"/>
    <w:rsid w:val="008A7BFA"/>
    <w:pPr>
      <w:numPr>
        <w:numId w:val="5"/>
      </w:numPr>
      <w:tabs>
        <w:tab w:val="clear" w:pos="720"/>
        <w:tab w:val="clear" w:pos="1440"/>
        <w:tab w:val="clear" w:pos="2160"/>
        <w:tab w:val="clear" w:pos="2880"/>
        <w:tab w:val="clear" w:pos="3600"/>
        <w:tab w:val="clear" w:pos="4320"/>
        <w:tab w:val="clear" w:pos="5040"/>
      </w:tabs>
      <w:suppressAutoHyphens/>
      <w:spacing w:after="240"/>
    </w:pPr>
    <w:rPr>
      <w:rFonts w:cs="Arial"/>
      <w:kern w:val="12"/>
      <w:szCs w:val="24"/>
    </w:rPr>
  </w:style>
  <w:style w:type="paragraph" w:customStyle="1" w:styleId="EYLetter">
    <w:name w:val="EY Letter"/>
    <w:basedOn w:val="EYNumber"/>
    <w:rsid w:val="008A7BFA"/>
    <w:pPr>
      <w:numPr>
        <w:ilvl w:val="1"/>
      </w:numPr>
    </w:pPr>
  </w:style>
  <w:style w:type="table" w:customStyle="1" w:styleId="TableFormat-Standard">
    <w:name w:val="Table Format - Standard"/>
    <w:basedOn w:val="TableNormal"/>
    <w:rsid w:val="008A7BFA"/>
    <w:rPr>
      <w:rFonts w:ascii="Arial" w:hAnsi="Arial"/>
      <w:lang w:val="nl-NL" w:eastAsia="nl-NL"/>
    </w:rPr>
    <w:tblPr>
      <w:tblBorders>
        <w:bottom w:val="single" w:sz="8" w:space="0" w:color="4F81BD" w:themeColor="accent1"/>
        <w:insideH w:val="single" w:sz="4" w:space="0" w:color="CCCBCD"/>
      </w:tblBorders>
      <w:tblCellMar>
        <w:left w:w="0" w:type="dxa"/>
        <w:right w:w="28" w:type="dxa"/>
      </w:tblCellMar>
    </w:tblPr>
    <w:tcPr>
      <w:shd w:val="clear" w:color="auto" w:fill="auto"/>
      <w:tcMar>
        <w:top w:w="0" w:type="dxa"/>
        <w:left w:w="108" w:type="dxa"/>
        <w:bottom w:w="0" w:type="dxa"/>
        <w:right w:w="108" w:type="dxa"/>
      </w:tcMar>
    </w:tcPr>
    <w:tblStylePr w:type="firstRow">
      <w:rPr>
        <w:color w:val="auto"/>
      </w:rPr>
      <w:tblPr/>
      <w:tcPr>
        <w:tcBorders>
          <w:top w:val="nil"/>
          <w:left w:val="nil"/>
          <w:bottom w:val="nil"/>
          <w:right w:val="nil"/>
          <w:insideH w:val="nil"/>
          <w:insideV w:val="nil"/>
          <w:tl2br w:val="nil"/>
          <w:tr2bl w:val="nil"/>
        </w:tcBorders>
        <w:shd w:val="clear" w:color="auto" w:fill="auto"/>
      </w:tcPr>
    </w:tblStylePr>
    <w:tblStylePr w:type="lastRow">
      <w:tblPr/>
      <w:tcPr>
        <w:tcBorders>
          <w:top w:val="nil"/>
          <w:left w:val="nil"/>
          <w:bottom w:val="single" w:sz="8" w:space="0" w:color="7F7E82"/>
          <w:right w:val="nil"/>
          <w:insideH w:val="nil"/>
          <w:insideV w:val="nil"/>
        </w:tcBorders>
        <w:shd w:val="clear" w:color="auto" w:fill="auto"/>
      </w:tcPr>
    </w:tblStylePr>
  </w:style>
  <w:style w:type="paragraph" w:customStyle="1" w:styleId="EYHeading2">
    <w:name w:val="EY Heading 2"/>
    <w:basedOn w:val="Normal"/>
    <w:next w:val="EYBodytextwithparaspace"/>
    <w:link w:val="EYHeading2Char"/>
    <w:rsid w:val="008A7BFA"/>
    <w:pPr>
      <w:keepNext/>
      <w:tabs>
        <w:tab w:val="clear" w:pos="720"/>
        <w:tab w:val="clear" w:pos="1440"/>
        <w:tab w:val="clear" w:pos="2160"/>
        <w:tab w:val="clear" w:pos="2880"/>
        <w:tab w:val="clear" w:pos="3600"/>
        <w:tab w:val="clear" w:pos="4320"/>
        <w:tab w:val="clear" w:pos="5040"/>
      </w:tabs>
      <w:suppressAutoHyphens/>
      <w:spacing w:before="120" w:after="120"/>
    </w:pPr>
    <w:rPr>
      <w:rFonts w:cs="Arial"/>
      <w:b/>
      <w:kern w:val="12"/>
      <w:sz w:val="22"/>
      <w:szCs w:val="24"/>
    </w:rPr>
  </w:style>
  <w:style w:type="paragraph" w:customStyle="1" w:styleId="EYBulletedtext1">
    <w:name w:val="EY Bulleted text 1"/>
    <w:basedOn w:val="EYBodytextwithparaspace"/>
    <w:rsid w:val="008A7BFA"/>
    <w:pPr>
      <w:numPr>
        <w:numId w:val="6"/>
      </w:numPr>
      <w:tabs>
        <w:tab w:val="clear" w:pos="425"/>
      </w:tabs>
      <w:ind w:left="2190" w:hanging="360"/>
    </w:pPr>
  </w:style>
  <w:style w:type="paragraph" w:customStyle="1" w:styleId="EYBulletedtext2">
    <w:name w:val="EY Bulleted text 2"/>
    <w:basedOn w:val="EYBodytextwithparaspace"/>
    <w:rsid w:val="008A7BFA"/>
    <w:pPr>
      <w:numPr>
        <w:ilvl w:val="1"/>
        <w:numId w:val="6"/>
      </w:numPr>
      <w:tabs>
        <w:tab w:val="clear" w:pos="851"/>
      </w:tabs>
      <w:ind w:left="2910" w:hanging="360"/>
    </w:pPr>
  </w:style>
  <w:style w:type="character" w:customStyle="1" w:styleId="EYHeading2Char">
    <w:name w:val="EY Heading 2 Char"/>
    <w:basedOn w:val="DefaultParagraphFont"/>
    <w:link w:val="EYHeading2"/>
    <w:rsid w:val="008A7BFA"/>
    <w:rPr>
      <w:rFonts w:ascii="Arial" w:hAnsi="Arial" w:cs="Arial"/>
      <w:b/>
      <w:kern w:val="12"/>
      <w:sz w:val="22"/>
      <w:szCs w:val="24"/>
      <w:lang w:eastAsia="en-US"/>
    </w:rPr>
  </w:style>
  <w:style w:type="paragraph" w:customStyle="1" w:styleId="EYBulletedtext3">
    <w:name w:val="EY Bulleted text 3"/>
    <w:basedOn w:val="EYBulletedtext1"/>
    <w:qFormat/>
    <w:rsid w:val="008A7BFA"/>
    <w:pPr>
      <w:numPr>
        <w:ilvl w:val="2"/>
      </w:numPr>
      <w:tabs>
        <w:tab w:val="clear" w:pos="1276"/>
      </w:tabs>
      <w:ind w:left="3630" w:hanging="360"/>
    </w:pPr>
    <w:rPr>
      <w:rFonts w:cs="Times New Roman"/>
    </w:rPr>
  </w:style>
  <w:style w:type="paragraph" w:styleId="CommentSubject">
    <w:name w:val="annotation subject"/>
    <w:basedOn w:val="CommentText"/>
    <w:next w:val="CommentText"/>
    <w:link w:val="CommentSubjectChar"/>
    <w:rsid w:val="008A7BFA"/>
    <w:pPr>
      <w:numPr>
        <w:ilvl w:val="0"/>
      </w:numPr>
      <w:tabs>
        <w:tab w:val="clear" w:pos="720"/>
        <w:tab w:val="clear" w:pos="1440"/>
        <w:tab w:val="clear" w:pos="2160"/>
        <w:tab w:val="left" w:pos="709"/>
      </w:tabs>
      <w:spacing w:after="120" w:line="240" w:lineRule="auto"/>
      <w:ind w:left="709" w:hanging="709"/>
    </w:pPr>
    <w:rPr>
      <w:rFonts w:cs="Arial"/>
      <w:b/>
      <w:bCs/>
    </w:rPr>
  </w:style>
  <w:style w:type="character" w:customStyle="1" w:styleId="CommentSubjectChar">
    <w:name w:val="Comment Subject Char"/>
    <w:basedOn w:val="CommentTextChar"/>
    <w:link w:val="CommentSubject"/>
    <w:rsid w:val="008A7BFA"/>
    <w:rPr>
      <w:rFonts w:ascii="Arial" w:hAnsi="Arial" w:cs="Arial"/>
      <w:b/>
      <w:bCs/>
      <w:lang w:eastAsia="en-US"/>
    </w:rPr>
  </w:style>
  <w:style w:type="character" w:styleId="HTMLDefinition">
    <w:name w:val="HTML Definition"/>
    <w:basedOn w:val="DefaultParagraphFont"/>
    <w:uiPriority w:val="99"/>
    <w:unhideWhenUsed/>
    <w:rsid w:val="00C0527E"/>
    <w:rPr>
      <w:i/>
      <w:iCs/>
    </w:rPr>
  </w:style>
  <w:style w:type="table" w:customStyle="1" w:styleId="TableGrid1">
    <w:name w:val="Table Grid1"/>
    <w:basedOn w:val="TableNormal"/>
    <w:next w:val="TableGrid"/>
    <w:uiPriority w:val="59"/>
    <w:rsid w:val="00BC4D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2721"/>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2B49"/>
    <w:rPr>
      <w:rFonts w:asciiTheme="minorHAnsi" w:eastAsiaTheme="minorHAnsi" w:hAnsiTheme="minorHAnsi" w:cstheme="minorBidi"/>
      <w:sz w:val="22"/>
      <w:szCs w:val="22"/>
      <w:lang w:eastAsia="en-US"/>
    </w:rPr>
  </w:style>
  <w:style w:type="table" w:customStyle="1" w:styleId="GridTable4-Accent51">
    <w:name w:val="Grid Table 4 - Accent 51"/>
    <w:basedOn w:val="TableNormal"/>
    <w:uiPriority w:val="49"/>
    <w:rsid w:val="005F39DD"/>
    <w:rPr>
      <w:lang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ableParagraph">
    <w:name w:val="Table Paragraph"/>
    <w:basedOn w:val="Normal"/>
    <w:uiPriority w:val="1"/>
    <w:qFormat/>
    <w:rsid w:val="006A6BF2"/>
    <w:pPr>
      <w:widowControl w:val="0"/>
      <w:tabs>
        <w:tab w:val="clear" w:pos="720"/>
        <w:tab w:val="clear" w:pos="1440"/>
        <w:tab w:val="clear" w:pos="2160"/>
        <w:tab w:val="clear" w:pos="2880"/>
        <w:tab w:val="clear" w:pos="3600"/>
        <w:tab w:val="clear" w:pos="4320"/>
        <w:tab w:val="clear" w:pos="5040"/>
      </w:tabs>
      <w:autoSpaceDE w:val="0"/>
      <w:autoSpaceDN w:val="0"/>
      <w:adjustRightInd w:val="0"/>
    </w:pPr>
    <w:rPr>
      <w:rFonts w:ascii="Times New Roman" w:eastAsiaTheme="minorEastAsia" w:hAnsi="Times New Roman"/>
      <w:sz w:val="24"/>
      <w:szCs w:val="24"/>
      <w:lang w:eastAsia="en-GB"/>
    </w:rPr>
  </w:style>
  <w:style w:type="paragraph" w:customStyle="1" w:styleId="CM26">
    <w:name w:val="CM26"/>
    <w:basedOn w:val="Normal"/>
    <w:next w:val="Normal"/>
    <w:rsid w:val="002B1765"/>
    <w:pPr>
      <w:tabs>
        <w:tab w:val="clear" w:pos="720"/>
        <w:tab w:val="clear" w:pos="1440"/>
        <w:tab w:val="clear" w:pos="2160"/>
        <w:tab w:val="clear" w:pos="2880"/>
        <w:tab w:val="clear" w:pos="3600"/>
        <w:tab w:val="clear" w:pos="4320"/>
        <w:tab w:val="clear" w:pos="5040"/>
      </w:tabs>
      <w:autoSpaceDE w:val="0"/>
      <w:autoSpaceDN w:val="0"/>
      <w:adjustRightInd w:val="0"/>
    </w:pPr>
    <w:rPr>
      <w:sz w:val="24"/>
      <w:szCs w:val="24"/>
      <w:lang w:eastAsia="en-GB"/>
    </w:rPr>
  </w:style>
  <w:style w:type="table" w:customStyle="1" w:styleId="GridTable4Accent1">
    <w:name w:val="Grid Table 4 Accent 1"/>
    <w:basedOn w:val="TableNormal"/>
    <w:uiPriority w:val="49"/>
    <w:rsid w:val="00807D77"/>
    <w:rPr>
      <w:rFonts w:ascii="Times New Roman" w:hAnsi="Times New Roman"/>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
    <w:name w:val="Table Grid3"/>
    <w:basedOn w:val="TableNormal"/>
    <w:next w:val="TableGrid"/>
    <w:uiPriority w:val="99"/>
    <w:rsid w:val="004055A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03FB"/>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84FB5"/>
  </w:style>
  <w:style w:type="table" w:customStyle="1" w:styleId="TableGrid5">
    <w:name w:val="Table Grid5"/>
    <w:basedOn w:val="TableNormal"/>
    <w:next w:val="TableGrid"/>
    <w:uiPriority w:val="59"/>
    <w:rsid w:val="00084F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C0F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748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heading">
    <w:name w:val="para heading"/>
    <w:basedOn w:val="Normal"/>
    <w:rsid w:val="002D08B1"/>
    <w:pPr>
      <w:tabs>
        <w:tab w:val="clear" w:pos="720"/>
        <w:tab w:val="clear" w:pos="1440"/>
        <w:tab w:val="clear" w:pos="2160"/>
        <w:tab w:val="clear" w:pos="2880"/>
        <w:tab w:val="clear" w:pos="3600"/>
        <w:tab w:val="clear" w:pos="4320"/>
        <w:tab w:val="clear" w:pos="5040"/>
        <w:tab w:val="num" w:pos="737"/>
      </w:tabs>
      <w:spacing w:after="120"/>
      <w:ind w:left="737" w:hanging="737"/>
    </w:pPr>
    <w:rPr>
      <w:rFonts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HTML Definition"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0B2"/>
    <w:pPr>
      <w:tabs>
        <w:tab w:val="left" w:pos="720"/>
        <w:tab w:val="left" w:pos="1440"/>
        <w:tab w:val="left" w:pos="2160"/>
        <w:tab w:val="left" w:pos="2880"/>
        <w:tab w:val="left" w:pos="3600"/>
        <w:tab w:val="left" w:pos="4320"/>
        <w:tab w:val="left" w:pos="5040"/>
      </w:tabs>
    </w:pPr>
    <w:rPr>
      <w:rFonts w:ascii="Arial" w:hAnsi="Arial"/>
      <w:lang w:eastAsia="en-US"/>
    </w:rPr>
  </w:style>
  <w:style w:type="paragraph" w:styleId="Heading1">
    <w:name w:val="heading 1"/>
    <w:basedOn w:val="Normal"/>
    <w:next w:val="Normal"/>
    <w:link w:val="Heading1Char"/>
    <w:qFormat/>
    <w:rsid w:val="008A7BFA"/>
    <w:pPr>
      <w:keepNext/>
      <w:keepLines/>
      <w:numPr>
        <w:ilvl w:val="1"/>
        <w:numId w:val="4"/>
      </w:numPr>
      <w:tabs>
        <w:tab w:val="clear" w:pos="720"/>
        <w:tab w:val="clear" w:pos="1440"/>
        <w:tab w:val="clear" w:pos="2160"/>
        <w:tab w:val="clear" w:pos="2880"/>
        <w:tab w:val="clear" w:pos="3600"/>
        <w:tab w:val="clear" w:pos="4320"/>
        <w:tab w:val="clear" w:pos="5040"/>
        <w:tab w:val="left" w:pos="709"/>
      </w:tabs>
      <w:spacing w:after="120" w:line="276" w:lineRule="auto"/>
      <w:ind w:left="709" w:hanging="709"/>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qFormat/>
    <w:rsid w:val="001B022D"/>
    <w:pPr>
      <w:keepNext/>
      <w:tabs>
        <w:tab w:val="clear" w:pos="5040"/>
      </w:tabs>
      <w:spacing w:before="60" w:after="60"/>
      <w:ind w:left="1440" w:right="-514" w:hanging="1440"/>
      <w:jc w:val="center"/>
      <w:outlineLvl w:val="1"/>
    </w:pPr>
    <w:rPr>
      <w:rFonts w:cs="Arial"/>
      <w:b/>
    </w:rPr>
  </w:style>
  <w:style w:type="paragraph" w:styleId="Heading3">
    <w:name w:val="heading 3"/>
    <w:basedOn w:val="Normal"/>
    <w:next w:val="Normal"/>
    <w:link w:val="Heading3Char"/>
    <w:semiHidden/>
    <w:unhideWhenUsed/>
    <w:qFormat/>
    <w:rsid w:val="003753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B022D"/>
    <w:pPr>
      <w:keepNext/>
      <w:tabs>
        <w:tab w:val="clear" w:pos="5040"/>
      </w:tabs>
      <w:ind w:left="1440" w:right="-514" w:hanging="1440"/>
      <w:outlineLvl w:val="3"/>
    </w:pPr>
    <w:rPr>
      <w:rFonts w:cs="Arial"/>
      <w:b/>
      <w:bCs/>
    </w:rPr>
  </w:style>
  <w:style w:type="paragraph" w:styleId="Heading6">
    <w:name w:val="heading 6"/>
    <w:basedOn w:val="Normal"/>
    <w:next w:val="Normal"/>
    <w:link w:val="Heading6Char"/>
    <w:qFormat/>
    <w:rsid w:val="001B022D"/>
    <w:pPr>
      <w:keepNext/>
      <w:tabs>
        <w:tab w:val="clear" w:pos="720"/>
        <w:tab w:val="clear" w:pos="1440"/>
        <w:tab w:val="clear" w:pos="2160"/>
        <w:tab w:val="clear" w:pos="2880"/>
        <w:tab w:val="clear" w:pos="3600"/>
        <w:tab w:val="clear" w:pos="4320"/>
        <w:tab w:val="clear" w:pos="5040"/>
      </w:tabs>
      <w:spacing w:before="40" w:after="40"/>
      <w:ind w:firstLine="12"/>
      <w:jc w:val="center"/>
      <w:outlineLvl w:val="5"/>
    </w:pPr>
    <w:rPr>
      <w:rFonts w:cs="Arial"/>
      <w:b/>
    </w:rPr>
  </w:style>
  <w:style w:type="paragraph" w:styleId="Heading7">
    <w:name w:val="heading 7"/>
    <w:basedOn w:val="Normal"/>
    <w:next w:val="Normal"/>
    <w:link w:val="Heading7Char"/>
    <w:qFormat/>
    <w:rsid w:val="001B022D"/>
    <w:pPr>
      <w:keepNext/>
      <w:tabs>
        <w:tab w:val="clear" w:pos="720"/>
        <w:tab w:val="clear" w:pos="1440"/>
        <w:tab w:val="clear" w:pos="2160"/>
        <w:tab w:val="clear" w:pos="2880"/>
        <w:tab w:val="clear" w:pos="3600"/>
        <w:tab w:val="clear" w:pos="4320"/>
        <w:tab w:val="clear" w:pos="5040"/>
      </w:tabs>
      <w:spacing w:before="60" w:after="60"/>
      <w:ind w:left="-18" w:right="-18" w:hanging="18"/>
      <w:jc w:val="center"/>
      <w:outlineLvl w:val="6"/>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pPr>
      <w:tabs>
        <w:tab w:val="clear" w:pos="720"/>
        <w:tab w:val="clear" w:pos="1440"/>
        <w:tab w:val="clear" w:pos="2160"/>
        <w:tab w:val="clear" w:pos="2880"/>
        <w:tab w:val="clear" w:pos="3600"/>
        <w:tab w:val="clear" w:pos="4320"/>
        <w:tab w:val="clear" w:pos="5040"/>
      </w:tabs>
    </w:pPr>
  </w:style>
  <w:style w:type="paragraph" w:styleId="Header">
    <w:name w:val="header"/>
    <w:basedOn w:val="Normal"/>
    <w:link w:val="HeaderChar"/>
    <w:pPr>
      <w:tabs>
        <w:tab w:val="clear" w:pos="720"/>
        <w:tab w:val="clear" w:pos="1440"/>
        <w:tab w:val="clear" w:pos="2160"/>
        <w:tab w:val="clear" w:pos="2880"/>
        <w:tab w:val="clear" w:pos="3600"/>
        <w:tab w:val="clear" w:pos="4320"/>
        <w:tab w:val="clear" w:pos="5040"/>
        <w:tab w:val="center" w:pos="4153"/>
        <w:tab w:val="right" w:pos="8306"/>
      </w:tabs>
    </w:pPr>
  </w:style>
  <w:style w:type="paragraph" w:styleId="Footer">
    <w:name w:val="footer"/>
    <w:basedOn w:val="Normal"/>
    <w:link w:val="FooterChar"/>
    <w:uiPriority w:val="99"/>
    <w:pPr>
      <w:tabs>
        <w:tab w:val="clear" w:pos="720"/>
        <w:tab w:val="clear" w:pos="1440"/>
        <w:tab w:val="clear" w:pos="2160"/>
        <w:tab w:val="clear" w:pos="2880"/>
        <w:tab w:val="clear" w:pos="3600"/>
        <w:tab w:val="clear" w:pos="4320"/>
        <w:tab w:val="clear" w:pos="5040"/>
        <w:tab w:val="center" w:pos="4153"/>
        <w:tab w:val="right" w:pos="8306"/>
      </w:tabs>
    </w:pPr>
  </w:style>
  <w:style w:type="character" w:styleId="Hyperlink">
    <w:name w:val="Hyperlink"/>
    <w:rsid w:val="00467AF1"/>
    <w:rPr>
      <w:color w:val="0000FF"/>
      <w:u w:val="single"/>
    </w:rPr>
  </w:style>
  <w:style w:type="character" w:styleId="Strong">
    <w:name w:val="Strong"/>
    <w:uiPriority w:val="22"/>
    <w:qFormat/>
    <w:rsid w:val="00F26110"/>
    <w:rPr>
      <w:b/>
      <w:bCs/>
    </w:rPr>
  </w:style>
  <w:style w:type="paragraph" w:styleId="BalloonText">
    <w:name w:val="Balloon Text"/>
    <w:basedOn w:val="Normal"/>
    <w:link w:val="BalloonTextChar"/>
    <w:rsid w:val="003E68EA"/>
    <w:rPr>
      <w:rFonts w:ascii="Tahoma" w:hAnsi="Tahoma" w:cs="Tahoma"/>
      <w:sz w:val="16"/>
      <w:szCs w:val="16"/>
    </w:rPr>
  </w:style>
  <w:style w:type="character" w:customStyle="1" w:styleId="BalloonTextChar">
    <w:name w:val="Balloon Text Char"/>
    <w:basedOn w:val="DefaultParagraphFont"/>
    <w:link w:val="BalloonText"/>
    <w:rsid w:val="003E68EA"/>
    <w:rPr>
      <w:rFonts w:ascii="Tahoma" w:hAnsi="Tahoma" w:cs="Tahoma"/>
      <w:sz w:val="16"/>
      <w:szCs w:val="16"/>
      <w:lang w:eastAsia="en-US"/>
    </w:rPr>
  </w:style>
  <w:style w:type="character" w:customStyle="1" w:styleId="Heading2Char">
    <w:name w:val="Heading 2 Char"/>
    <w:basedOn w:val="DefaultParagraphFont"/>
    <w:link w:val="Heading2"/>
    <w:rsid w:val="001B022D"/>
    <w:rPr>
      <w:rFonts w:ascii="Arial" w:hAnsi="Arial" w:cs="Arial"/>
      <w:b/>
      <w:lang w:eastAsia="en-US"/>
    </w:rPr>
  </w:style>
  <w:style w:type="character" w:customStyle="1" w:styleId="Heading4Char">
    <w:name w:val="Heading 4 Char"/>
    <w:basedOn w:val="DefaultParagraphFont"/>
    <w:link w:val="Heading4"/>
    <w:rsid w:val="001B022D"/>
    <w:rPr>
      <w:rFonts w:ascii="Arial" w:hAnsi="Arial" w:cs="Arial"/>
      <w:b/>
      <w:bCs/>
      <w:lang w:eastAsia="en-US"/>
    </w:rPr>
  </w:style>
  <w:style w:type="character" w:customStyle="1" w:styleId="Heading6Char">
    <w:name w:val="Heading 6 Char"/>
    <w:basedOn w:val="DefaultParagraphFont"/>
    <w:link w:val="Heading6"/>
    <w:rsid w:val="001B022D"/>
    <w:rPr>
      <w:rFonts w:ascii="Arial" w:hAnsi="Arial" w:cs="Arial"/>
      <w:b/>
      <w:lang w:eastAsia="en-US"/>
    </w:rPr>
  </w:style>
  <w:style w:type="character" w:customStyle="1" w:styleId="Heading7Char">
    <w:name w:val="Heading 7 Char"/>
    <w:basedOn w:val="DefaultParagraphFont"/>
    <w:link w:val="Heading7"/>
    <w:rsid w:val="001B022D"/>
    <w:rPr>
      <w:rFonts w:ascii="Arial" w:hAnsi="Arial" w:cs="Arial"/>
      <w:b/>
      <w:lang w:eastAsia="en-US"/>
    </w:rPr>
  </w:style>
  <w:style w:type="character" w:customStyle="1" w:styleId="HeaderChar">
    <w:name w:val="Header Char"/>
    <w:basedOn w:val="DefaultParagraphFont"/>
    <w:link w:val="Header"/>
    <w:rsid w:val="001B022D"/>
    <w:rPr>
      <w:rFonts w:ascii="Arial" w:hAnsi="Arial"/>
      <w:lang w:eastAsia="en-US"/>
    </w:rPr>
  </w:style>
  <w:style w:type="character" w:customStyle="1" w:styleId="FooterChar">
    <w:name w:val="Footer Char"/>
    <w:basedOn w:val="DefaultParagraphFont"/>
    <w:link w:val="Footer"/>
    <w:uiPriority w:val="99"/>
    <w:rsid w:val="001B022D"/>
    <w:rPr>
      <w:rFonts w:ascii="Arial" w:hAnsi="Arial"/>
      <w:lang w:eastAsia="en-US"/>
    </w:rPr>
  </w:style>
  <w:style w:type="paragraph" w:customStyle="1" w:styleId="BodyAgenda">
    <w:name w:val="BodyAgenda"/>
    <w:basedOn w:val="Normal"/>
    <w:rsid w:val="001B022D"/>
    <w:pPr>
      <w:tabs>
        <w:tab w:val="decimal" w:pos="360"/>
        <w:tab w:val="left" w:pos="5760"/>
        <w:tab w:val="left" w:pos="6480"/>
        <w:tab w:val="left" w:pos="7200"/>
        <w:tab w:val="left" w:pos="7920"/>
        <w:tab w:val="left" w:pos="8640"/>
      </w:tabs>
      <w:spacing w:before="240"/>
      <w:ind w:left="720" w:hanging="720"/>
    </w:pPr>
    <w:rPr>
      <w:rFonts w:ascii="Helv" w:hAnsi="Helv"/>
    </w:rPr>
  </w:style>
  <w:style w:type="paragraph" w:styleId="BodyText3">
    <w:name w:val="Body Text 3"/>
    <w:basedOn w:val="Normal"/>
    <w:link w:val="BodyText3Char"/>
    <w:rsid w:val="001B022D"/>
    <w:rPr>
      <w:rFonts w:ascii="Bookman Old Style" w:hAnsi="Bookman Old Style"/>
      <w:b/>
      <w:bCs/>
    </w:rPr>
  </w:style>
  <w:style w:type="character" w:customStyle="1" w:styleId="BodyText3Char">
    <w:name w:val="Body Text 3 Char"/>
    <w:basedOn w:val="DefaultParagraphFont"/>
    <w:link w:val="BodyText3"/>
    <w:rsid w:val="001B022D"/>
    <w:rPr>
      <w:rFonts w:ascii="Bookman Old Style" w:hAnsi="Bookman Old Style"/>
      <w:b/>
      <w:bCs/>
      <w:lang w:eastAsia="en-US"/>
    </w:rPr>
  </w:style>
  <w:style w:type="paragraph" w:styleId="ListParagraph">
    <w:name w:val="List Paragraph"/>
    <w:basedOn w:val="Normal"/>
    <w:link w:val="ListParagraphChar"/>
    <w:uiPriority w:val="34"/>
    <w:qFormat/>
    <w:rsid w:val="001B022D"/>
    <w:pPr>
      <w:tabs>
        <w:tab w:val="clear" w:pos="720"/>
        <w:tab w:val="clear" w:pos="1440"/>
        <w:tab w:val="clear" w:pos="2160"/>
        <w:tab w:val="clear" w:pos="2880"/>
        <w:tab w:val="clear" w:pos="3600"/>
        <w:tab w:val="clear" w:pos="4320"/>
        <w:tab w:val="clear" w:pos="5040"/>
      </w:tabs>
      <w:spacing w:after="200" w:line="276" w:lineRule="auto"/>
      <w:ind w:left="720"/>
      <w:contextualSpacing/>
    </w:pPr>
    <w:rPr>
      <w:rFonts w:ascii="Calibri" w:hAnsi="Calibri"/>
      <w:sz w:val="22"/>
      <w:szCs w:val="22"/>
    </w:rPr>
  </w:style>
  <w:style w:type="paragraph" w:styleId="Title">
    <w:name w:val="Title"/>
    <w:basedOn w:val="Normal"/>
    <w:link w:val="TitleChar"/>
    <w:qFormat/>
    <w:rsid w:val="001B022D"/>
    <w:pPr>
      <w:jc w:val="center"/>
    </w:pPr>
    <w:rPr>
      <w:u w:val="single"/>
    </w:rPr>
  </w:style>
  <w:style w:type="character" w:customStyle="1" w:styleId="TitleChar">
    <w:name w:val="Title Char"/>
    <w:basedOn w:val="DefaultParagraphFont"/>
    <w:link w:val="Title"/>
    <w:rsid w:val="001B022D"/>
    <w:rPr>
      <w:rFonts w:ascii="Arial" w:hAnsi="Arial"/>
      <w:u w:val="single"/>
      <w:lang w:eastAsia="en-US"/>
    </w:rPr>
  </w:style>
  <w:style w:type="character" w:customStyle="1" w:styleId="ListParagraphChar">
    <w:name w:val="List Paragraph Char"/>
    <w:link w:val="ListParagraph"/>
    <w:uiPriority w:val="99"/>
    <w:locked/>
    <w:rsid w:val="001B022D"/>
    <w:rPr>
      <w:rFonts w:ascii="Calibri" w:hAnsi="Calibri"/>
      <w:sz w:val="22"/>
      <w:szCs w:val="22"/>
      <w:lang w:eastAsia="en-US"/>
    </w:rPr>
  </w:style>
  <w:style w:type="paragraph" w:customStyle="1" w:styleId="Default">
    <w:name w:val="Default"/>
    <w:rsid w:val="001B022D"/>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1B022D"/>
    <w:pPr>
      <w:spacing w:after="120"/>
      <w:ind w:left="283"/>
    </w:pPr>
  </w:style>
  <w:style w:type="character" w:customStyle="1" w:styleId="BodyTextIndentChar">
    <w:name w:val="Body Text Indent Char"/>
    <w:basedOn w:val="DefaultParagraphFont"/>
    <w:link w:val="BodyTextIndent"/>
    <w:rsid w:val="001B022D"/>
    <w:rPr>
      <w:rFonts w:ascii="Arial" w:hAnsi="Arial"/>
      <w:lang w:eastAsia="en-US"/>
    </w:rPr>
  </w:style>
  <w:style w:type="paragraph" w:styleId="BodyText">
    <w:name w:val="Body Text"/>
    <w:basedOn w:val="Normal"/>
    <w:link w:val="BodyTextChar"/>
    <w:uiPriority w:val="1"/>
    <w:qFormat/>
    <w:rsid w:val="001B022D"/>
    <w:pPr>
      <w:spacing w:after="120"/>
    </w:pPr>
  </w:style>
  <w:style w:type="character" w:customStyle="1" w:styleId="BodyTextChar">
    <w:name w:val="Body Text Char"/>
    <w:basedOn w:val="DefaultParagraphFont"/>
    <w:link w:val="BodyText"/>
    <w:uiPriority w:val="1"/>
    <w:rsid w:val="001B022D"/>
    <w:rPr>
      <w:rFonts w:ascii="Arial" w:hAnsi="Arial"/>
      <w:lang w:eastAsia="en-US"/>
    </w:rPr>
  </w:style>
  <w:style w:type="table" w:styleId="TableGrid">
    <w:name w:val="Table Grid"/>
    <w:basedOn w:val="TableNormal"/>
    <w:rsid w:val="001B022D"/>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senrhsennumparatext">
    <w:name w:val="ends enrhs ennumparatext"/>
    <w:basedOn w:val="DefaultParagraphFont"/>
    <w:rsid w:val="00872B37"/>
  </w:style>
  <w:style w:type="paragraph" w:styleId="FootnoteText">
    <w:name w:val="footnote text"/>
    <w:basedOn w:val="Normal"/>
    <w:link w:val="FootnoteTextChar"/>
    <w:unhideWhenUsed/>
    <w:rsid w:val="00E4271B"/>
    <w:pPr>
      <w:tabs>
        <w:tab w:val="clear" w:pos="720"/>
        <w:tab w:val="clear" w:pos="1440"/>
        <w:tab w:val="clear" w:pos="2160"/>
        <w:tab w:val="clear" w:pos="2880"/>
        <w:tab w:val="clear" w:pos="3600"/>
        <w:tab w:val="clear" w:pos="4320"/>
        <w:tab w:val="clear" w:pos="5040"/>
      </w:tabs>
    </w:pPr>
    <w:rPr>
      <w:rFonts w:asciiTheme="minorHAnsi" w:eastAsiaTheme="minorHAnsi" w:hAnsiTheme="minorHAnsi" w:cstheme="minorBidi"/>
    </w:rPr>
  </w:style>
  <w:style w:type="character" w:customStyle="1" w:styleId="FootnoteTextChar">
    <w:name w:val="Footnote Text Char"/>
    <w:basedOn w:val="DefaultParagraphFont"/>
    <w:link w:val="FootnoteText"/>
    <w:rsid w:val="00E4271B"/>
    <w:rPr>
      <w:rFonts w:asciiTheme="minorHAnsi" w:eastAsiaTheme="minorHAnsi" w:hAnsiTheme="minorHAnsi" w:cstheme="minorBidi"/>
      <w:lang w:eastAsia="en-US"/>
    </w:rPr>
  </w:style>
  <w:style w:type="character" w:styleId="FootnoteReference">
    <w:name w:val="footnote reference"/>
    <w:basedOn w:val="DefaultParagraphFont"/>
    <w:unhideWhenUsed/>
    <w:rsid w:val="00E4271B"/>
    <w:rPr>
      <w:vertAlign w:val="superscript"/>
    </w:rPr>
  </w:style>
  <w:style w:type="paragraph" w:styleId="NormalWeb">
    <w:name w:val="Normal (Web)"/>
    <w:basedOn w:val="Normal"/>
    <w:uiPriority w:val="99"/>
    <w:unhideWhenUsed/>
    <w:rsid w:val="009F5916"/>
    <w:pPr>
      <w:tabs>
        <w:tab w:val="clear" w:pos="720"/>
        <w:tab w:val="clear" w:pos="1440"/>
        <w:tab w:val="clear" w:pos="2160"/>
        <w:tab w:val="clear" w:pos="2880"/>
        <w:tab w:val="clear" w:pos="3600"/>
        <w:tab w:val="clear" w:pos="4320"/>
        <w:tab w:val="clear" w:pos="5040"/>
      </w:tabs>
      <w:spacing w:before="100" w:beforeAutospacing="1" w:after="100" w:afterAutospacing="1"/>
    </w:pPr>
    <w:rPr>
      <w:rFonts w:ascii="Times New Roman" w:hAnsi="Times New Roman"/>
      <w:sz w:val="24"/>
      <w:szCs w:val="24"/>
      <w:lang w:eastAsia="en-GB"/>
    </w:rPr>
  </w:style>
  <w:style w:type="paragraph" w:styleId="BodyTextIndent2">
    <w:name w:val="Body Text Indent 2"/>
    <w:basedOn w:val="Normal"/>
    <w:link w:val="BodyTextIndent2Char"/>
    <w:unhideWhenUsed/>
    <w:rsid w:val="00CE4AFE"/>
    <w:pPr>
      <w:spacing w:after="120" w:line="480" w:lineRule="auto"/>
      <w:ind w:left="283"/>
    </w:pPr>
  </w:style>
  <w:style w:type="character" w:customStyle="1" w:styleId="BodyTextIndent2Char">
    <w:name w:val="Body Text Indent 2 Char"/>
    <w:basedOn w:val="DefaultParagraphFont"/>
    <w:link w:val="BodyTextIndent2"/>
    <w:rsid w:val="00CE4AFE"/>
    <w:rPr>
      <w:rFonts w:ascii="Arial" w:hAnsi="Arial"/>
      <w:lang w:eastAsia="en-US"/>
    </w:rPr>
  </w:style>
  <w:style w:type="paragraph" w:styleId="BodyTextIndent3">
    <w:name w:val="Body Text Indent 3"/>
    <w:basedOn w:val="Normal"/>
    <w:link w:val="BodyTextIndent3Char"/>
    <w:unhideWhenUsed/>
    <w:rsid w:val="00CE4AFE"/>
    <w:pPr>
      <w:spacing w:after="120"/>
      <w:ind w:left="283"/>
    </w:pPr>
    <w:rPr>
      <w:sz w:val="16"/>
      <w:szCs w:val="16"/>
    </w:rPr>
  </w:style>
  <w:style w:type="character" w:customStyle="1" w:styleId="BodyTextIndent3Char">
    <w:name w:val="Body Text Indent 3 Char"/>
    <w:basedOn w:val="DefaultParagraphFont"/>
    <w:link w:val="BodyTextIndent3"/>
    <w:rsid w:val="00CE4AFE"/>
    <w:rPr>
      <w:rFonts w:ascii="Arial" w:hAnsi="Arial"/>
      <w:sz w:val="16"/>
      <w:szCs w:val="16"/>
      <w:lang w:eastAsia="en-US"/>
    </w:rPr>
  </w:style>
  <w:style w:type="paragraph" w:styleId="BlockText">
    <w:name w:val="Block Text"/>
    <w:basedOn w:val="Normal"/>
    <w:rsid w:val="00BC2AB5"/>
    <w:pPr>
      <w:tabs>
        <w:tab w:val="clear" w:pos="720"/>
        <w:tab w:val="clear" w:pos="1440"/>
        <w:tab w:val="clear" w:pos="2880"/>
        <w:tab w:val="clear" w:pos="5040"/>
        <w:tab w:val="left" w:pos="180"/>
      </w:tabs>
      <w:ind w:left="720" w:right="386" w:hanging="720"/>
      <w:jc w:val="both"/>
    </w:pPr>
    <w:rPr>
      <w:rFonts w:cs="Arial"/>
      <w:b/>
      <w:bCs/>
      <w:sz w:val="24"/>
      <w:u w:val="single"/>
    </w:rPr>
  </w:style>
  <w:style w:type="paragraph" w:styleId="BodyText2">
    <w:name w:val="Body Text 2"/>
    <w:basedOn w:val="Normal"/>
    <w:link w:val="BodyText2Char"/>
    <w:rsid w:val="003241E4"/>
    <w:pPr>
      <w:tabs>
        <w:tab w:val="clear" w:pos="720"/>
        <w:tab w:val="clear" w:pos="1440"/>
        <w:tab w:val="clear" w:pos="2160"/>
        <w:tab w:val="clear" w:pos="2880"/>
        <w:tab w:val="clear" w:pos="3600"/>
        <w:tab w:val="clear" w:pos="4320"/>
        <w:tab w:val="clear" w:pos="5040"/>
      </w:tabs>
      <w:spacing w:after="120" w:line="480" w:lineRule="auto"/>
    </w:pPr>
    <w:rPr>
      <w:rFonts w:ascii="Times New Roman" w:hAnsi="Times New Roman"/>
    </w:rPr>
  </w:style>
  <w:style w:type="character" w:customStyle="1" w:styleId="BodyText2Char">
    <w:name w:val="Body Text 2 Char"/>
    <w:basedOn w:val="DefaultParagraphFont"/>
    <w:link w:val="BodyText2"/>
    <w:rsid w:val="003241E4"/>
    <w:rPr>
      <w:rFonts w:ascii="Times New Roman" w:hAnsi="Times New Roman"/>
      <w:lang w:eastAsia="en-US"/>
    </w:rPr>
  </w:style>
  <w:style w:type="paragraph" w:styleId="Subtitle">
    <w:name w:val="Subtitle"/>
    <w:basedOn w:val="ListParagraph"/>
    <w:next w:val="Normal"/>
    <w:link w:val="SubtitleChar"/>
    <w:qFormat/>
    <w:rsid w:val="00ED2CFB"/>
    <w:pPr>
      <w:numPr>
        <w:numId w:val="1"/>
      </w:numPr>
      <w:tabs>
        <w:tab w:val="left" w:pos="709"/>
      </w:tabs>
      <w:spacing w:after="120"/>
    </w:pPr>
    <w:rPr>
      <w:rFonts w:ascii="Arial" w:hAnsi="Arial" w:cs="Arial"/>
      <w:b/>
      <w:sz w:val="28"/>
      <w:szCs w:val="28"/>
    </w:rPr>
  </w:style>
  <w:style w:type="character" w:customStyle="1" w:styleId="SubtitleChar">
    <w:name w:val="Subtitle Char"/>
    <w:basedOn w:val="DefaultParagraphFont"/>
    <w:link w:val="Subtitle"/>
    <w:rsid w:val="00ED2CFB"/>
    <w:rPr>
      <w:rFonts w:ascii="Arial" w:hAnsi="Arial" w:cs="Arial"/>
      <w:b/>
      <w:sz w:val="28"/>
      <w:szCs w:val="28"/>
      <w:lang w:eastAsia="en-US"/>
    </w:rPr>
  </w:style>
  <w:style w:type="character" w:customStyle="1" w:styleId="Heading3Char">
    <w:name w:val="Heading 3 Char"/>
    <w:basedOn w:val="DefaultParagraphFont"/>
    <w:link w:val="Heading3"/>
    <w:semiHidden/>
    <w:rsid w:val="00375382"/>
    <w:rPr>
      <w:rFonts w:asciiTheme="majorHAnsi" w:eastAsiaTheme="majorEastAsia" w:hAnsiTheme="majorHAnsi" w:cstheme="majorBidi"/>
      <w:b/>
      <w:bCs/>
      <w:color w:val="4F81BD" w:themeColor="accent1"/>
      <w:lang w:eastAsia="en-US"/>
    </w:rPr>
  </w:style>
  <w:style w:type="paragraph" w:customStyle="1" w:styleId="ChapterHeading">
    <w:name w:val="Chapter Heading"/>
    <w:basedOn w:val="Normal"/>
    <w:uiPriority w:val="99"/>
    <w:semiHidden/>
    <w:rsid w:val="00375382"/>
    <w:pPr>
      <w:pageBreakBefore/>
      <w:numPr>
        <w:numId w:val="2"/>
      </w:numPr>
      <w:tabs>
        <w:tab w:val="clear" w:pos="720"/>
        <w:tab w:val="clear" w:pos="1440"/>
        <w:tab w:val="clear" w:pos="2160"/>
        <w:tab w:val="clear" w:pos="2880"/>
        <w:tab w:val="clear" w:pos="3600"/>
        <w:tab w:val="clear" w:pos="4320"/>
        <w:tab w:val="clear" w:pos="5040"/>
      </w:tabs>
      <w:spacing w:before="120" w:after="120"/>
      <w:jc w:val="both"/>
    </w:pPr>
    <w:rPr>
      <w:rFonts w:ascii="Calibri" w:hAnsi="Calibri" w:cs="Arial"/>
      <w:b/>
      <w:noProof/>
      <w:spacing w:val="-5"/>
      <w:sz w:val="36"/>
      <w:szCs w:val="36"/>
    </w:rPr>
  </w:style>
  <w:style w:type="paragraph" w:customStyle="1" w:styleId="Subheading">
    <w:name w:val="Subheading"/>
    <w:basedOn w:val="BodyText"/>
    <w:uiPriority w:val="99"/>
    <w:semiHidden/>
    <w:rsid w:val="00375382"/>
    <w:pPr>
      <w:numPr>
        <w:ilvl w:val="1"/>
        <w:numId w:val="2"/>
      </w:numPr>
      <w:tabs>
        <w:tab w:val="clear" w:pos="720"/>
        <w:tab w:val="clear" w:pos="1440"/>
        <w:tab w:val="clear" w:pos="2160"/>
        <w:tab w:val="clear" w:pos="2880"/>
        <w:tab w:val="clear" w:pos="3600"/>
        <w:tab w:val="clear" w:pos="4320"/>
        <w:tab w:val="clear" w:pos="5040"/>
      </w:tabs>
      <w:spacing w:before="270" w:after="180"/>
      <w:jc w:val="both"/>
    </w:pPr>
    <w:rPr>
      <w:rFonts w:cs="Arial"/>
      <w:b/>
      <w:noProof/>
      <w:sz w:val="22"/>
      <w:szCs w:val="22"/>
    </w:rPr>
  </w:style>
  <w:style w:type="paragraph" w:customStyle="1" w:styleId="subhead">
    <w:name w:val="subhead"/>
    <w:basedOn w:val="Subheading"/>
    <w:link w:val="subheadChar"/>
    <w:uiPriority w:val="99"/>
    <w:rsid w:val="00375382"/>
  </w:style>
  <w:style w:type="character" w:customStyle="1" w:styleId="subheadChar">
    <w:name w:val="subhead Char"/>
    <w:link w:val="subhead"/>
    <w:uiPriority w:val="99"/>
    <w:locked/>
    <w:rsid w:val="00375382"/>
    <w:rPr>
      <w:rFonts w:ascii="Arial" w:hAnsi="Arial" w:cs="Arial"/>
      <w:b/>
      <w:noProof/>
      <w:sz w:val="22"/>
      <w:szCs w:val="22"/>
      <w:lang w:eastAsia="en-US"/>
    </w:rPr>
  </w:style>
  <w:style w:type="paragraph" w:customStyle="1" w:styleId="Body">
    <w:name w:val="Body"/>
    <w:uiPriority w:val="99"/>
    <w:rsid w:val="00264C62"/>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Mainnumber">
    <w:name w:val="Main number"/>
    <w:basedOn w:val="Normal"/>
    <w:qFormat/>
    <w:rsid w:val="00FC3204"/>
    <w:pPr>
      <w:numPr>
        <w:numId w:val="3"/>
      </w:numPr>
      <w:tabs>
        <w:tab w:val="clear" w:pos="1440"/>
        <w:tab w:val="clear" w:pos="2160"/>
        <w:tab w:val="clear" w:pos="2880"/>
        <w:tab w:val="clear" w:pos="3600"/>
        <w:tab w:val="clear" w:pos="4320"/>
        <w:tab w:val="clear" w:pos="5040"/>
      </w:tabs>
      <w:spacing w:after="120"/>
    </w:pPr>
    <w:rPr>
      <w:rFonts w:cs="Arial"/>
      <w:b/>
      <w:bCs/>
      <w:sz w:val="24"/>
      <w:szCs w:val="24"/>
    </w:rPr>
  </w:style>
  <w:style w:type="paragraph" w:customStyle="1" w:styleId="Subnumber">
    <w:name w:val="Sub number"/>
    <w:basedOn w:val="Normal"/>
    <w:link w:val="SubnumberChar"/>
    <w:qFormat/>
    <w:rsid w:val="00FC3204"/>
    <w:pPr>
      <w:numPr>
        <w:ilvl w:val="1"/>
        <w:numId w:val="3"/>
      </w:numPr>
      <w:tabs>
        <w:tab w:val="clear" w:pos="1440"/>
        <w:tab w:val="clear" w:pos="2160"/>
        <w:tab w:val="clear" w:pos="2880"/>
        <w:tab w:val="clear" w:pos="3600"/>
        <w:tab w:val="clear" w:pos="4320"/>
        <w:tab w:val="clear" w:pos="5040"/>
      </w:tabs>
      <w:spacing w:after="120"/>
    </w:pPr>
    <w:rPr>
      <w:rFonts w:cs="Arial"/>
      <w:sz w:val="24"/>
      <w:szCs w:val="24"/>
    </w:rPr>
  </w:style>
  <w:style w:type="character" w:customStyle="1" w:styleId="SubnumberChar">
    <w:name w:val="Sub number Char"/>
    <w:basedOn w:val="DefaultParagraphFont"/>
    <w:link w:val="Subnumber"/>
    <w:rsid w:val="00FC3204"/>
    <w:rPr>
      <w:rFonts w:ascii="Arial" w:hAnsi="Arial" w:cs="Arial"/>
      <w:sz w:val="24"/>
      <w:szCs w:val="24"/>
      <w:lang w:eastAsia="en-US"/>
    </w:rPr>
  </w:style>
  <w:style w:type="paragraph" w:customStyle="1" w:styleId="CM8">
    <w:name w:val="CM8"/>
    <w:basedOn w:val="Default"/>
    <w:next w:val="Default"/>
    <w:rsid w:val="002679B5"/>
    <w:pPr>
      <w:spacing w:line="433" w:lineRule="atLeast"/>
    </w:pPr>
    <w:rPr>
      <w:rFonts w:cs="Times New Roman"/>
      <w:color w:val="auto"/>
    </w:rPr>
  </w:style>
  <w:style w:type="paragraph" w:customStyle="1" w:styleId="CM28">
    <w:name w:val="CM28"/>
    <w:basedOn w:val="Default"/>
    <w:next w:val="Default"/>
    <w:uiPriority w:val="99"/>
    <w:rsid w:val="002679B5"/>
    <w:rPr>
      <w:rFonts w:eastAsia="Calibri"/>
      <w:color w:val="auto"/>
      <w:lang w:eastAsia="en-US"/>
    </w:rPr>
  </w:style>
  <w:style w:type="paragraph" w:customStyle="1" w:styleId="CM46">
    <w:name w:val="CM46"/>
    <w:basedOn w:val="Default"/>
    <w:next w:val="Default"/>
    <w:uiPriority w:val="99"/>
    <w:rsid w:val="002679B5"/>
    <w:rPr>
      <w:rFonts w:eastAsia="Calibri"/>
      <w:color w:val="auto"/>
      <w:lang w:eastAsia="en-US"/>
    </w:rPr>
  </w:style>
  <w:style w:type="paragraph" w:customStyle="1" w:styleId="CM21">
    <w:name w:val="CM21"/>
    <w:basedOn w:val="Default"/>
    <w:next w:val="Default"/>
    <w:uiPriority w:val="99"/>
    <w:rsid w:val="002679B5"/>
    <w:pPr>
      <w:spacing w:line="233" w:lineRule="atLeast"/>
    </w:pPr>
    <w:rPr>
      <w:rFonts w:eastAsia="Calibri"/>
      <w:color w:val="auto"/>
      <w:lang w:eastAsia="en-US"/>
    </w:rPr>
  </w:style>
  <w:style w:type="paragraph" w:customStyle="1" w:styleId="CM43">
    <w:name w:val="CM43"/>
    <w:basedOn w:val="Default"/>
    <w:next w:val="Default"/>
    <w:uiPriority w:val="99"/>
    <w:rsid w:val="002679B5"/>
    <w:rPr>
      <w:rFonts w:eastAsia="Calibri"/>
      <w:color w:val="auto"/>
      <w:lang w:eastAsia="en-US"/>
    </w:rPr>
  </w:style>
  <w:style w:type="paragraph" w:customStyle="1" w:styleId="CM38">
    <w:name w:val="CM38"/>
    <w:basedOn w:val="Default"/>
    <w:next w:val="Default"/>
    <w:uiPriority w:val="99"/>
    <w:rsid w:val="002679B5"/>
    <w:pPr>
      <w:spacing w:line="458" w:lineRule="atLeast"/>
    </w:pPr>
    <w:rPr>
      <w:rFonts w:eastAsia="Calibri"/>
      <w:color w:val="auto"/>
      <w:lang w:eastAsia="en-US"/>
    </w:rPr>
  </w:style>
  <w:style w:type="paragraph" w:customStyle="1" w:styleId="CM62">
    <w:name w:val="CM62"/>
    <w:basedOn w:val="Normal"/>
    <w:next w:val="Normal"/>
    <w:uiPriority w:val="99"/>
    <w:rsid w:val="002679B5"/>
    <w:pPr>
      <w:tabs>
        <w:tab w:val="clear" w:pos="720"/>
        <w:tab w:val="clear" w:pos="1440"/>
        <w:tab w:val="clear" w:pos="2160"/>
        <w:tab w:val="clear" w:pos="2880"/>
        <w:tab w:val="clear" w:pos="3600"/>
        <w:tab w:val="clear" w:pos="4320"/>
        <w:tab w:val="clear" w:pos="5040"/>
      </w:tabs>
      <w:autoSpaceDE w:val="0"/>
      <w:autoSpaceDN w:val="0"/>
      <w:adjustRightInd w:val="0"/>
    </w:pPr>
    <w:rPr>
      <w:rFonts w:ascii="Helvetica 45 Light" w:eastAsiaTheme="minorHAnsi" w:hAnsi="Helvetica 45 Light" w:cstheme="minorBidi"/>
      <w:sz w:val="24"/>
      <w:szCs w:val="24"/>
    </w:rPr>
  </w:style>
  <w:style w:type="character" w:customStyle="1" w:styleId="st1">
    <w:name w:val="st1"/>
    <w:basedOn w:val="DefaultParagraphFont"/>
    <w:rsid w:val="002679B5"/>
  </w:style>
  <w:style w:type="paragraph" w:customStyle="1" w:styleId="Pa11">
    <w:name w:val="Pa11"/>
    <w:basedOn w:val="Default"/>
    <w:next w:val="Default"/>
    <w:uiPriority w:val="99"/>
    <w:rsid w:val="002679B5"/>
    <w:pPr>
      <w:spacing w:line="221" w:lineRule="atLeast"/>
    </w:pPr>
    <w:rPr>
      <w:rFonts w:ascii="Helvetica 55 Roman" w:eastAsiaTheme="minorHAnsi" w:hAnsi="Helvetica 55 Roman" w:cstheme="minorBidi"/>
      <w:color w:val="auto"/>
      <w:lang w:eastAsia="en-US"/>
    </w:rPr>
  </w:style>
  <w:style w:type="paragraph" w:customStyle="1" w:styleId="Pa12">
    <w:name w:val="Pa12"/>
    <w:basedOn w:val="Default"/>
    <w:next w:val="Default"/>
    <w:uiPriority w:val="99"/>
    <w:rsid w:val="002679B5"/>
    <w:pPr>
      <w:spacing w:line="201" w:lineRule="atLeast"/>
    </w:pPr>
    <w:rPr>
      <w:rFonts w:ascii="Helvetica 55 Roman" w:eastAsiaTheme="minorHAnsi" w:hAnsi="Helvetica 55 Roman" w:cstheme="minorBidi"/>
      <w:color w:val="auto"/>
      <w:lang w:eastAsia="en-US"/>
    </w:rPr>
  </w:style>
  <w:style w:type="paragraph" w:customStyle="1" w:styleId="Pa13">
    <w:name w:val="Pa13"/>
    <w:basedOn w:val="Default"/>
    <w:next w:val="Default"/>
    <w:uiPriority w:val="99"/>
    <w:rsid w:val="002679B5"/>
    <w:pPr>
      <w:spacing w:line="201" w:lineRule="atLeast"/>
    </w:pPr>
    <w:rPr>
      <w:rFonts w:ascii="Helvetica 55 Roman" w:eastAsiaTheme="minorHAnsi" w:hAnsi="Helvetica 55 Roman" w:cstheme="minorBidi"/>
      <w:color w:val="auto"/>
      <w:lang w:eastAsia="en-US"/>
    </w:rPr>
  </w:style>
  <w:style w:type="paragraph" w:customStyle="1" w:styleId="yiv3963226381msolistparagraph">
    <w:name w:val="yiv3963226381msolistparagraph"/>
    <w:basedOn w:val="Normal"/>
    <w:rsid w:val="00AF46B5"/>
    <w:pPr>
      <w:tabs>
        <w:tab w:val="clear" w:pos="720"/>
        <w:tab w:val="clear" w:pos="1440"/>
        <w:tab w:val="clear" w:pos="2160"/>
        <w:tab w:val="clear" w:pos="2880"/>
        <w:tab w:val="clear" w:pos="3600"/>
        <w:tab w:val="clear" w:pos="4320"/>
        <w:tab w:val="clear" w:pos="5040"/>
      </w:tabs>
      <w:spacing w:before="100" w:beforeAutospacing="1" w:after="100" w:afterAutospacing="1"/>
    </w:pPr>
    <w:rPr>
      <w:rFonts w:ascii="Times New Roman" w:hAnsi="Times New Roman"/>
      <w:sz w:val="24"/>
      <w:szCs w:val="24"/>
      <w:lang w:eastAsia="en-GB"/>
    </w:rPr>
  </w:style>
  <w:style w:type="paragraph" w:customStyle="1" w:styleId="font0">
    <w:name w:val="font0"/>
    <w:basedOn w:val="Normal"/>
    <w:uiPriority w:val="99"/>
    <w:rsid w:val="00D94E13"/>
    <w:pPr>
      <w:tabs>
        <w:tab w:val="clear" w:pos="720"/>
        <w:tab w:val="clear" w:pos="1440"/>
        <w:tab w:val="clear" w:pos="2160"/>
        <w:tab w:val="clear" w:pos="2880"/>
        <w:tab w:val="clear" w:pos="3600"/>
        <w:tab w:val="clear" w:pos="4320"/>
        <w:tab w:val="clear" w:pos="5040"/>
      </w:tabs>
      <w:spacing w:before="100" w:after="100"/>
    </w:pPr>
    <w:rPr>
      <w:rFonts w:eastAsia="Arial Unicode MS" w:cs="Arial"/>
    </w:rPr>
  </w:style>
  <w:style w:type="character" w:styleId="Emphasis">
    <w:name w:val="Emphasis"/>
    <w:basedOn w:val="DefaultParagraphFont"/>
    <w:uiPriority w:val="20"/>
    <w:qFormat/>
    <w:rsid w:val="00D94E13"/>
    <w:rPr>
      <w:b/>
      <w:bCs/>
      <w:i w:val="0"/>
      <w:iCs w:val="0"/>
    </w:rPr>
  </w:style>
  <w:style w:type="character" w:customStyle="1" w:styleId="Heading1Char">
    <w:name w:val="Heading 1 Char"/>
    <w:basedOn w:val="DefaultParagraphFont"/>
    <w:link w:val="Heading1"/>
    <w:rsid w:val="008A7BFA"/>
    <w:rPr>
      <w:rFonts w:asciiTheme="majorHAnsi" w:eastAsiaTheme="majorEastAsia" w:hAnsiTheme="majorHAnsi" w:cstheme="majorBidi"/>
      <w:b/>
      <w:bCs/>
      <w:sz w:val="28"/>
      <w:szCs w:val="28"/>
      <w:lang w:eastAsia="en-US"/>
    </w:rPr>
  </w:style>
  <w:style w:type="character" w:styleId="CommentReference">
    <w:name w:val="annotation reference"/>
    <w:basedOn w:val="DefaultParagraphFont"/>
    <w:rsid w:val="008A7BFA"/>
    <w:rPr>
      <w:sz w:val="16"/>
      <w:szCs w:val="16"/>
    </w:rPr>
  </w:style>
  <w:style w:type="paragraph" w:styleId="CommentText">
    <w:name w:val="annotation text"/>
    <w:basedOn w:val="Normal"/>
    <w:link w:val="CommentTextChar"/>
    <w:rsid w:val="008A7BFA"/>
    <w:pPr>
      <w:numPr>
        <w:ilvl w:val="1"/>
      </w:numPr>
      <w:tabs>
        <w:tab w:val="clear" w:pos="2880"/>
        <w:tab w:val="clear" w:pos="3600"/>
        <w:tab w:val="clear" w:pos="4320"/>
        <w:tab w:val="clear" w:pos="5040"/>
      </w:tabs>
      <w:spacing w:line="276" w:lineRule="auto"/>
      <w:contextualSpacing/>
    </w:pPr>
  </w:style>
  <w:style w:type="character" w:customStyle="1" w:styleId="CommentTextChar">
    <w:name w:val="Comment Text Char"/>
    <w:basedOn w:val="DefaultParagraphFont"/>
    <w:link w:val="CommentText"/>
    <w:rsid w:val="008A7BFA"/>
    <w:rPr>
      <w:rFonts w:ascii="Arial" w:hAnsi="Arial"/>
      <w:lang w:eastAsia="en-US"/>
    </w:rPr>
  </w:style>
  <w:style w:type="paragraph" w:customStyle="1" w:styleId="EYBodytextwithparaspace">
    <w:name w:val="EY Body text (with para space)"/>
    <w:basedOn w:val="Normal"/>
    <w:link w:val="EYBodytextwithparaspaceChar"/>
    <w:rsid w:val="008A7BFA"/>
    <w:pPr>
      <w:tabs>
        <w:tab w:val="clear" w:pos="720"/>
        <w:tab w:val="clear" w:pos="1440"/>
        <w:tab w:val="clear" w:pos="2160"/>
        <w:tab w:val="clear" w:pos="2880"/>
        <w:tab w:val="clear" w:pos="3600"/>
        <w:tab w:val="clear" w:pos="4320"/>
        <w:tab w:val="clear" w:pos="5040"/>
      </w:tabs>
      <w:suppressAutoHyphens/>
      <w:spacing w:after="240"/>
    </w:pPr>
    <w:rPr>
      <w:rFonts w:cs="Arial"/>
      <w:kern w:val="12"/>
      <w:szCs w:val="24"/>
    </w:rPr>
  </w:style>
  <w:style w:type="character" w:customStyle="1" w:styleId="EYBodytextwithparaspaceChar">
    <w:name w:val="EY Body text (with para space) Char"/>
    <w:basedOn w:val="DefaultParagraphFont"/>
    <w:link w:val="EYBodytextwithparaspace"/>
    <w:rsid w:val="008A7BFA"/>
    <w:rPr>
      <w:rFonts w:ascii="Arial" w:hAnsi="Arial" w:cs="Arial"/>
      <w:kern w:val="12"/>
      <w:szCs w:val="24"/>
      <w:lang w:eastAsia="en-US"/>
    </w:rPr>
  </w:style>
  <w:style w:type="paragraph" w:customStyle="1" w:styleId="EYNumber">
    <w:name w:val="EY Number"/>
    <w:basedOn w:val="Normal"/>
    <w:rsid w:val="008A7BFA"/>
    <w:pPr>
      <w:numPr>
        <w:numId w:val="5"/>
      </w:numPr>
      <w:tabs>
        <w:tab w:val="clear" w:pos="720"/>
        <w:tab w:val="clear" w:pos="1440"/>
        <w:tab w:val="clear" w:pos="2160"/>
        <w:tab w:val="clear" w:pos="2880"/>
        <w:tab w:val="clear" w:pos="3600"/>
        <w:tab w:val="clear" w:pos="4320"/>
        <w:tab w:val="clear" w:pos="5040"/>
      </w:tabs>
      <w:suppressAutoHyphens/>
      <w:spacing w:after="240"/>
    </w:pPr>
    <w:rPr>
      <w:rFonts w:cs="Arial"/>
      <w:kern w:val="12"/>
      <w:szCs w:val="24"/>
    </w:rPr>
  </w:style>
  <w:style w:type="paragraph" w:customStyle="1" w:styleId="EYLetter">
    <w:name w:val="EY Letter"/>
    <w:basedOn w:val="EYNumber"/>
    <w:rsid w:val="008A7BFA"/>
    <w:pPr>
      <w:numPr>
        <w:ilvl w:val="1"/>
      </w:numPr>
    </w:pPr>
  </w:style>
  <w:style w:type="table" w:customStyle="1" w:styleId="TableFormat-Standard">
    <w:name w:val="Table Format - Standard"/>
    <w:basedOn w:val="TableNormal"/>
    <w:rsid w:val="008A7BFA"/>
    <w:rPr>
      <w:rFonts w:ascii="Arial" w:hAnsi="Arial"/>
      <w:lang w:val="nl-NL" w:eastAsia="nl-NL"/>
    </w:rPr>
    <w:tblPr>
      <w:tblBorders>
        <w:bottom w:val="single" w:sz="8" w:space="0" w:color="4F81BD" w:themeColor="accent1"/>
        <w:insideH w:val="single" w:sz="4" w:space="0" w:color="CCCBCD"/>
      </w:tblBorders>
      <w:tblCellMar>
        <w:left w:w="0" w:type="dxa"/>
        <w:right w:w="28" w:type="dxa"/>
      </w:tblCellMar>
    </w:tblPr>
    <w:tcPr>
      <w:shd w:val="clear" w:color="auto" w:fill="auto"/>
      <w:tcMar>
        <w:top w:w="0" w:type="dxa"/>
        <w:left w:w="108" w:type="dxa"/>
        <w:bottom w:w="0" w:type="dxa"/>
        <w:right w:w="108" w:type="dxa"/>
      </w:tcMar>
    </w:tcPr>
    <w:tblStylePr w:type="firstRow">
      <w:rPr>
        <w:color w:val="auto"/>
      </w:rPr>
      <w:tblPr/>
      <w:tcPr>
        <w:tcBorders>
          <w:top w:val="nil"/>
          <w:left w:val="nil"/>
          <w:bottom w:val="nil"/>
          <w:right w:val="nil"/>
          <w:insideH w:val="nil"/>
          <w:insideV w:val="nil"/>
          <w:tl2br w:val="nil"/>
          <w:tr2bl w:val="nil"/>
        </w:tcBorders>
        <w:shd w:val="clear" w:color="auto" w:fill="auto"/>
      </w:tcPr>
    </w:tblStylePr>
    <w:tblStylePr w:type="lastRow">
      <w:tblPr/>
      <w:tcPr>
        <w:tcBorders>
          <w:top w:val="nil"/>
          <w:left w:val="nil"/>
          <w:bottom w:val="single" w:sz="8" w:space="0" w:color="7F7E82"/>
          <w:right w:val="nil"/>
          <w:insideH w:val="nil"/>
          <w:insideV w:val="nil"/>
        </w:tcBorders>
        <w:shd w:val="clear" w:color="auto" w:fill="auto"/>
      </w:tcPr>
    </w:tblStylePr>
  </w:style>
  <w:style w:type="paragraph" w:customStyle="1" w:styleId="EYHeading2">
    <w:name w:val="EY Heading 2"/>
    <w:basedOn w:val="Normal"/>
    <w:next w:val="EYBodytextwithparaspace"/>
    <w:link w:val="EYHeading2Char"/>
    <w:rsid w:val="008A7BFA"/>
    <w:pPr>
      <w:keepNext/>
      <w:tabs>
        <w:tab w:val="clear" w:pos="720"/>
        <w:tab w:val="clear" w:pos="1440"/>
        <w:tab w:val="clear" w:pos="2160"/>
        <w:tab w:val="clear" w:pos="2880"/>
        <w:tab w:val="clear" w:pos="3600"/>
        <w:tab w:val="clear" w:pos="4320"/>
        <w:tab w:val="clear" w:pos="5040"/>
      </w:tabs>
      <w:suppressAutoHyphens/>
      <w:spacing w:before="120" w:after="120"/>
    </w:pPr>
    <w:rPr>
      <w:rFonts w:cs="Arial"/>
      <w:b/>
      <w:kern w:val="12"/>
      <w:sz w:val="22"/>
      <w:szCs w:val="24"/>
    </w:rPr>
  </w:style>
  <w:style w:type="paragraph" w:customStyle="1" w:styleId="EYBulletedtext1">
    <w:name w:val="EY Bulleted text 1"/>
    <w:basedOn w:val="EYBodytextwithparaspace"/>
    <w:rsid w:val="008A7BFA"/>
    <w:pPr>
      <w:numPr>
        <w:numId w:val="6"/>
      </w:numPr>
      <w:tabs>
        <w:tab w:val="clear" w:pos="425"/>
      </w:tabs>
      <w:ind w:left="2190" w:hanging="360"/>
    </w:pPr>
  </w:style>
  <w:style w:type="paragraph" w:customStyle="1" w:styleId="EYBulletedtext2">
    <w:name w:val="EY Bulleted text 2"/>
    <w:basedOn w:val="EYBodytextwithparaspace"/>
    <w:rsid w:val="008A7BFA"/>
    <w:pPr>
      <w:numPr>
        <w:ilvl w:val="1"/>
        <w:numId w:val="6"/>
      </w:numPr>
      <w:tabs>
        <w:tab w:val="clear" w:pos="851"/>
      </w:tabs>
      <w:ind w:left="2910" w:hanging="360"/>
    </w:pPr>
  </w:style>
  <w:style w:type="character" w:customStyle="1" w:styleId="EYHeading2Char">
    <w:name w:val="EY Heading 2 Char"/>
    <w:basedOn w:val="DefaultParagraphFont"/>
    <w:link w:val="EYHeading2"/>
    <w:rsid w:val="008A7BFA"/>
    <w:rPr>
      <w:rFonts w:ascii="Arial" w:hAnsi="Arial" w:cs="Arial"/>
      <w:b/>
      <w:kern w:val="12"/>
      <w:sz w:val="22"/>
      <w:szCs w:val="24"/>
      <w:lang w:eastAsia="en-US"/>
    </w:rPr>
  </w:style>
  <w:style w:type="paragraph" w:customStyle="1" w:styleId="EYBulletedtext3">
    <w:name w:val="EY Bulleted text 3"/>
    <w:basedOn w:val="EYBulletedtext1"/>
    <w:qFormat/>
    <w:rsid w:val="008A7BFA"/>
    <w:pPr>
      <w:numPr>
        <w:ilvl w:val="2"/>
      </w:numPr>
      <w:tabs>
        <w:tab w:val="clear" w:pos="1276"/>
      </w:tabs>
      <w:ind w:left="3630" w:hanging="360"/>
    </w:pPr>
    <w:rPr>
      <w:rFonts w:cs="Times New Roman"/>
    </w:rPr>
  </w:style>
  <w:style w:type="paragraph" w:styleId="CommentSubject">
    <w:name w:val="annotation subject"/>
    <w:basedOn w:val="CommentText"/>
    <w:next w:val="CommentText"/>
    <w:link w:val="CommentSubjectChar"/>
    <w:rsid w:val="008A7BFA"/>
    <w:pPr>
      <w:numPr>
        <w:ilvl w:val="0"/>
      </w:numPr>
      <w:tabs>
        <w:tab w:val="clear" w:pos="720"/>
        <w:tab w:val="clear" w:pos="1440"/>
        <w:tab w:val="clear" w:pos="2160"/>
        <w:tab w:val="left" w:pos="709"/>
      </w:tabs>
      <w:spacing w:after="120" w:line="240" w:lineRule="auto"/>
      <w:ind w:left="709" w:hanging="709"/>
    </w:pPr>
    <w:rPr>
      <w:rFonts w:cs="Arial"/>
      <w:b/>
      <w:bCs/>
    </w:rPr>
  </w:style>
  <w:style w:type="character" w:customStyle="1" w:styleId="CommentSubjectChar">
    <w:name w:val="Comment Subject Char"/>
    <w:basedOn w:val="CommentTextChar"/>
    <w:link w:val="CommentSubject"/>
    <w:rsid w:val="008A7BFA"/>
    <w:rPr>
      <w:rFonts w:ascii="Arial" w:hAnsi="Arial" w:cs="Arial"/>
      <w:b/>
      <w:bCs/>
      <w:lang w:eastAsia="en-US"/>
    </w:rPr>
  </w:style>
  <w:style w:type="character" w:styleId="HTMLDefinition">
    <w:name w:val="HTML Definition"/>
    <w:basedOn w:val="DefaultParagraphFont"/>
    <w:uiPriority w:val="99"/>
    <w:unhideWhenUsed/>
    <w:rsid w:val="00C0527E"/>
    <w:rPr>
      <w:i/>
      <w:iCs/>
    </w:rPr>
  </w:style>
  <w:style w:type="table" w:customStyle="1" w:styleId="TableGrid1">
    <w:name w:val="Table Grid1"/>
    <w:basedOn w:val="TableNormal"/>
    <w:next w:val="TableGrid"/>
    <w:uiPriority w:val="59"/>
    <w:rsid w:val="00BC4D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2721"/>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2B49"/>
    <w:rPr>
      <w:rFonts w:asciiTheme="minorHAnsi" w:eastAsiaTheme="minorHAnsi" w:hAnsiTheme="minorHAnsi" w:cstheme="minorBidi"/>
      <w:sz w:val="22"/>
      <w:szCs w:val="22"/>
      <w:lang w:eastAsia="en-US"/>
    </w:rPr>
  </w:style>
  <w:style w:type="table" w:customStyle="1" w:styleId="GridTable4-Accent51">
    <w:name w:val="Grid Table 4 - Accent 51"/>
    <w:basedOn w:val="TableNormal"/>
    <w:uiPriority w:val="49"/>
    <w:rsid w:val="005F39DD"/>
    <w:rPr>
      <w:lang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ableParagraph">
    <w:name w:val="Table Paragraph"/>
    <w:basedOn w:val="Normal"/>
    <w:uiPriority w:val="1"/>
    <w:qFormat/>
    <w:rsid w:val="006A6BF2"/>
    <w:pPr>
      <w:widowControl w:val="0"/>
      <w:tabs>
        <w:tab w:val="clear" w:pos="720"/>
        <w:tab w:val="clear" w:pos="1440"/>
        <w:tab w:val="clear" w:pos="2160"/>
        <w:tab w:val="clear" w:pos="2880"/>
        <w:tab w:val="clear" w:pos="3600"/>
        <w:tab w:val="clear" w:pos="4320"/>
        <w:tab w:val="clear" w:pos="5040"/>
      </w:tabs>
      <w:autoSpaceDE w:val="0"/>
      <w:autoSpaceDN w:val="0"/>
      <w:adjustRightInd w:val="0"/>
    </w:pPr>
    <w:rPr>
      <w:rFonts w:ascii="Times New Roman" w:eastAsiaTheme="minorEastAsia" w:hAnsi="Times New Roman"/>
      <w:sz w:val="24"/>
      <w:szCs w:val="24"/>
      <w:lang w:eastAsia="en-GB"/>
    </w:rPr>
  </w:style>
  <w:style w:type="paragraph" w:customStyle="1" w:styleId="CM26">
    <w:name w:val="CM26"/>
    <w:basedOn w:val="Normal"/>
    <w:next w:val="Normal"/>
    <w:rsid w:val="002B1765"/>
    <w:pPr>
      <w:tabs>
        <w:tab w:val="clear" w:pos="720"/>
        <w:tab w:val="clear" w:pos="1440"/>
        <w:tab w:val="clear" w:pos="2160"/>
        <w:tab w:val="clear" w:pos="2880"/>
        <w:tab w:val="clear" w:pos="3600"/>
        <w:tab w:val="clear" w:pos="4320"/>
        <w:tab w:val="clear" w:pos="5040"/>
      </w:tabs>
      <w:autoSpaceDE w:val="0"/>
      <w:autoSpaceDN w:val="0"/>
      <w:adjustRightInd w:val="0"/>
    </w:pPr>
    <w:rPr>
      <w:sz w:val="24"/>
      <w:szCs w:val="24"/>
      <w:lang w:eastAsia="en-GB"/>
    </w:rPr>
  </w:style>
  <w:style w:type="table" w:customStyle="1" w:styleId="GridTable4Accent1">
    <w:name w:val="Grid Table 4 Accent 1"/>
    <w:basedOn w:val="TableNormal"/>
    <w:uiPriority w:val="49"/>
    <w:rsid w:val="00807D77"/>
    <w:rPr>
      <w:rFonts w:ascii="Times New Roman" w:hAnsi="Times New Roman"/>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
    <w:name w:val="Table Grid3"/>
    <w:basedOn w:val="TableNormal"/>
    <w:next w:val="TableGrid"/>
    <w:uiPriority w:val="99"/>
    <w:rsid w:val="004055A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03FB"/>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84FB5"/>
  </w:style>
  <w:style w:type="table" w:customStyle="1" w:styleId="TableGrid5">
    <w:name w:val="Table Grid5"/>
    <w:basedOn w:val="TableNormal"/>
    <w:next w:val="TableGrid"/>
    <w:uiPriority w:val="59"/>
    <w:rsid w:val="00084F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C0F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748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heading">
    <w:name w:val="para heading"/>
    <w:basedOn w:val="Normal"/>
    <w:rsid w:val="002D08B1"/>
    <w:pPr>
      <w:tabs>
        <w:tab w:val="clear" w:pos="720"/>
        <w:tab w:val="clear" w:pos="1440"/>
        <w:tab w:val="clear" w:pos="2160"/>
        <w:tab w:val="clear" w:pos="2880"/>
        <w:tab w:val="clear" w:pos="3600"/>
        <w:tab w:val="clear" w:pos="4320"/>
        <w:tab w:val="clear" w:pos="5040"/>
        <w:tab w:val="num" w:pos="737"/>
      </w:tabs>
      <w:spacing w:after="120"/>
      <w:ind w:left="737" w:hanging="737"/>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8369">
      <w:bodyDiv w:val="1"/>
      <w:marLeft w:val="0"/>
      <w:marRight w:val="0"/>
      <w:marTop w:val="0"/>
      <w:marBottom w:val="0"/>
      <w:divBdr>
        <w:top w:val="none" w:sz="0" w:space="0" w:color="auto"/>
        <w:left w:val="none" w:sz="0" w:space="0" w:color="auto"/>
        <w:bottom w:val="none" w:sz="0" w:space="0" w:color="auto"/>
        <w:right w:val="none" w:sz="0" w:space="0" w:color="auto"/>
      </w:divBdr>
    </w:div>
    <w:div w:id="34164446">
      <w:bodyDiv w:val="1"/>
      <w:marLeft w:val="0"/>
      <w:marRight w:val="0"/>
      <w:marTop w:val="0"/>
      <w:marBottom w:val="0"/>
      <w:divBdr>
        <w:top w:val="none" w:sz="0" w:space="0" w:color="auto"/>
        <w:left w:val="none" w:sz="0" w:space="0" w:color="auto"/>
        <w:bottom w:val="none" w:sz="0" w:space="0" w:color="auto"/>
        <w:right w:val="none" w:sz="0" w:space="0" w:color="auto"/>
      </w:divBdr>
    </w:div>
    <w:div w:id="37706467">
      <w:bodyDiv w:val="1"/>
      <w:marLeft w:val="0"/>
      <w:marRight w:val="0"/>
      <w:marTop w:val="0"/>
      <w:marBottom w:val="0"/>
      <w:divBdr>
        <w:top w:val="none" w:sz="0" w:space="0" w:color="auto"/>
        <w:left w:val="none" w:sz="0" w:space="0" w:color="auto"/>
        <w:bottom w:val="none" w:sz="0" w:space="0" w:color="auto"/>
        <w:right w:val="none" w:sz="0" w:space="0" w:color="auto"/>
      </w:divBdr>
    </w:div>
    <w:div w:id="37751539">
      <w:bodyDiv w:val="1"/>
      <w:marLeft w:val="0"/>
      <w:marRight w:val="0"/>
      <w:marTop w:val="0"/>
      <w:marBottom w:val="0"/>
      <w:divBdr>
        <w:top w:val="none" w:sz="0" w:space="0" w:color="auto"/>
        <w:left w:val="none" w:sz="0" w:space="0" w:color="auto"/>
        <w:bottom w:val="none" w:sz="0" w:space="0" w:color="auto"/>
        <w:right w:val="none" w:sz="0" w:space="0" w:color="auto"/>
      </w:divBdr>
    </w:div>
    <w:div w:id="55248792">
      <w:bodyDiv w:val="1"/>
      <w:marLeft w:val="0"/>
      <w:marRight w:val="0"/>
      <w:marTop w:val="0"/>
      <w:marBottom w:val="0"/>
      <w:divBdr>
        <w:top w:val="none" w:sz="0" w:space="0" w:color="auto"/>
        <w:left w:val="none" w:sz="0" w:space="0" w:color="auto"/>
        <w:bottom w:val="none" w:sz="0" w:space="0" w:color="auto"/>
        <w:right w:val="none" w:sz="0" w:space="0" w:color="auto"/>
      </w:divBdr>
    </w:div>
    <w:div w:id="55981078">
      <w:bodyDiv w:val="1"/>
      <w:marLeft w:val="0"/>
      <w:marRight w:val="0"/>
      <w:marTop w:val="0"/>
      <w:marBottom w:val="0"/>
      <w:divBdr>
        <w:top w:val="none" w:sz="0" w:space="0" w:color="auto"/>
        <w:left w:val="none" w:sz="0" w:space="0" w:color="auto"/>
        <w:bottom w:val="none" w:sz="0" w:space="0" w:color="auto"/>
        <w:right w:val="none" w:sz="0" w:space="0" w:color="auto"/>
      </w:divBdr>
    </w:div>
    <w:div w:id="71003736">
      <w:bodyDiv w:val="1"/>
      <w:marLeft w:val="0"/>
      <w:marRight w:val="0"/>
      <w:marTop w:val="0"/>
      <w:marBottom w:val="0"/>
      <w:divBdr>
        <w:top w:val="none" w:sz="0" w:space="0" w:color="auto"/>
        <w:left w:val="none" w:sz="0" w:space="0" w:color="auto"/>
        <w:bottom w:val="none" w:sz="0" w:space="0" w:color="auto"/>
        <w:right w:val="none" w:sz="0" w:space="0" w:color="auto"/>
      </w:divBdr>
    </w:div>
    <w:div w:id="86193405">
      <w:bodyDiv w:val="1"/>
      <w:marLeft w:val="0"/>
      <w:marRight w:val="0"/>
      <w:marTop w:val="0"/>
      <w:marBottom w:val="0"/>
      <w:divBdr>
        <w:top w:val="none" w:sz="0" w:space="0" w:color="auto"/>
        <w:left w:val="none" w:sz="0" w:space="0" w:color="auto"/>
        <w:bottom w:val="none" w:sz="0" w:space="0" w:color="auto"/>
        <w:right w:val="none" w:sz="0" w:space="0" w:color="auto"/>
      </w:divBdr>
    </w:div>
    <w:div w:id="125854650">
      <w:bodyDiv w:val="1"/>
      <w:marLeft w:val="0"/>
      <w:marRight w:val="0"/>
      <w:marTop w:val="0"/>
      <w:marBottom w:val="0"/>
      <w:divBdr>
        <w:top w:val="none" w:sz="0" w:space="0" w:color="auto"/>
        <w:left w:val="none" w:sz="0" w:space="0" w:color="auto"/>
        <w:bottom w:val="none" w:sz="0" w:space="0" w:color="auto"/>
        <w:right w:val="none" w:sz="0" w:space="0" w:color="auto"/>
      </w:divBdr>
    </w:div>
    <w:div w:id="138156572">
      <w:bodyDiv w:val="1"/>
      <w:marLeft w:val="0"/>
      <w:marRight w:val="0"/>
      <w:marTop w:val="0"/>
      <w:marBottom w:val="0"/>
      <w:divBdr>
        <w:top w:val="none" w:sz="0" w:space="0" w:color="auto"/>
        <w:left w:val="none" w:sz="0" w:space="0" w:color="auto"/>
        <w:bottom w:val="none" w:sz="0" w:space="0" w:color="auto"/>
        <w:right w:val="none" w:sz="0" w:space="0" w:color="auto"/>
      </w:divBdr>
    </w:div>
    <w:div w:id="142353833">
      <w:bodyDiv w:val="1"/>
      <w:marLeft w:val="0"/>
      <w:marRight w:val="0"/>
      <w:marTop w:val="0"/>
      <w:marBottom w:val="0"/>
      <w:divBdr>
        <w:top w:val="none" w:sz="0" w:space="0" w:color="auto"/>
        <w:left w:val="none" w:sz="0" w:space="0" w:color="auto"/>
        <w:bottom w:val="none" w:sz="0" w:space="0" w:color="auto"/>
        <w:right w:val="none" w:sz="0" w:space="0" w:color="auto"/>
      </w:divBdr>
    </w:div>
    <w:div w:id="205678179">
      <w:bodyDiv w:val="1"/>
      <w:marLeft w:val="0"/>
      <w:marRight w:val="0"/>
      <w:marTop w:val="0"/>
      <w:marBottom w:val="0"/>
      <w:divBdr>
        <w:top w:val="none" w:sz="0" w:space="0" w:color="auto"/>
        <w:left w:val="none" w:sz="0" w:space="0" w:color="auto"/>
        <w:bottom w:val="none" w:sz="0" w:space="0" w:color="auto"/>
        <w:right w:val="none" w:sz="0" w:space="0" w:color="auto"/>
      </w:divBdr>
    </w:div>
    <w:div w:id="216404448">
      <w:bodyDiv w:val="1"/>
      <w:marLeft w:val="0"/>
      <w:marRight w:val="0"/>
      <w:marTop w:val="0"/>
      <w:marBottom w:val="0"/>
      <w:divBdr>
        <w:top w:val="none" w:sz="0" w:space="0" w:color="auto"/>
        <w:left w:val="none" w:sz="0" w:space="0" w:color="auto"/>
        <w:bottom w:val="none" w:sz="0" w:space="0" w:color="auto"/>
        <w:right w:val="none" w:sz="0" w:space="0" w:color="auto"/>
      </w:divBdr>
    </w:div>
    <w:div w:id="219245943">
      <w:bodyDiv w:val="1"/>
      <w:marLeft w:val="0"/>
      <w:marRight w:val="0"/>
      <w:marTop w:val="0"/>
      <w:marBottom w:val="0"/>
      <w:divBdr>
        <w:top w:val="none" w:sz="0" w:space="0" w:color="auto"/>
        <w:left w:val="none" w:sz="0" w:space="0" w:color="auto"/>
        <w:bottom w:val="none" w:sz="0" w:space="0" w:color="auto"/>
        <w:right w:val="none" w:sz="0" w:space="0" w:color="auto"/>
      </w:divBdr>
    </w:div>
    <w:div w:id="238096561">
      <w:bodyDiv w:val="1"/>
      <w:marLeft w:val="0"/>
      <w:marRight w:val="0"/>
      <w:marTop w:val="0"/>
      <w:marBottom w:val="0"/>
      <w:divBdr>
        <w:top w:val="none" w:sz="0" w:space="0" w:color="auto"/>
        <w:left w:val="none" w:sz="0" w:space="0" w:color="auto"/>
        <w:bottom w:val="none" w:sz="0" w:space="0" w:color="auto"/>
        <w:right w:val="none" w:sz="0" w:space="0" w:color="auto"/>
      </w:divBdr>
    </w:div>
    <w:div w:id="238638425">
      <w:bodyDiv w:val="1"/>
      <w:marLeft w:val="0"/>
      <w:marRight w:val="0"/>
      <w:marTop w:val="0"/>
      <w:marBottom w:val="0"/>
      <w:divBdr>
        <w:top w:val="none" w:sz="0" w:space="0" w:color="auto"/>
        <w:left w:val="none" w:sz="0" w:space="0" w:color="auto"/>
        <w:bottom w:val="none" w:sz="0" w:space="0" w:color="auto"/>
        <w:right w:val="none" w:sz="0" w:space="0" w:color="auto"/>
      </w:divBdr>
    </w:div>
    <w:div w:id="257761062">
      <w:bodyDiv w:val="1"/>
      <w:marLeft w:val="0"/>
      <w:marRight w:val="0"/>
      <w:marTop w:val="0"/>
      <w:marBottom w:val="0"/>
      <w:divBdr>
        <w:top w:val="none" w:sz="0" w:space="0" w:color="auto"/>
        <w:left w:val="none" w:sz="0" w:space="0" w:color="auto"/>
        <w:bottom w:val="none" w:sz="0" w:space="0" w:color="auto"/>
        <w:right w:val="none" w:sz="0" w:space="0" w:color="auto"/>
      </w:divBdr>
    </w:div>
    <w:div w:id="271787697">
      <w:bodyDiv w:val="1"/>
      <w:marLeft w:val="0"/>
      <w:marRight w:val="0"/>
      <w:marTop w:val="0"/>
      <w:marBottom w:val="0"/>
      <w:divBdr>
        <w:top w:val="none" w:sz="0" w:space="0" w:color="auto"/>
        <w:left w:val="none" w:sz="0" w:space="0" w:color="auto"/>
        <w:bottom w:val="none" w:sz="0" w:space="0" w:color="auto"/>
        <w:right w:val="none" w:sz="0" w:space="0" w:color="auto"/>
      </w:divBdr>
    </w:div>
    <w:div w:id="281574189">
      <w:bodyDiv w:val="1"/>
      <w:marLeft w:val="0"/>
      <w:marRight w:val="0"/>
      <w:marTop w:val="0"/>
      <w:marBottom w:val="0"/>
      <w:divBdr>
        <w:top w:val="none" w:sz="0" w:space="0" w:color="auto"/>
        <w:left w:val="none" w:sz="0" w:space="0" w:color="auto"/>
        <w:bottom w:val="none" w:sz="0" w:space="0" w:color="auto"/>
        <w:right w:val="none" w:sz="0" w:space="0" w:color="auto"/>
      </w:divBdr>
    </w:div>
    <w:div w:id="289821465">
      <w:bodyDiv w:val="1"/>
      <w:marLeft w:val="0"/>
      <w:marRight w:val="0"/>
      <w:marTop w:val="0"/>
      <w:marBottom w:val="0"/>
      <w:divBdr>
        <w:top w:val="none" w:sz="0" w:space="0" w:color="auto"/>
        <w:left w:val="none" w:sz="0" w:space="0" w:color="auto"/>
        <w:bottom w:val="none" w:sz="0" w:space="0" w:color="auto"/>
        <w:right w:val="none" w:sz="0" w:space="0" w:color="auto"/>
      </w:divBdr>
    </w:div>
    <w:div w:id="297340488">
      <w:bodyDiv w:val="1"/>
      <w:marLeft w:val="0"/>
      <w:marRight w:val="0"/>
      <w:marTop w:val="0"/>
      <w:marBottom w:val="0"/>
      <w:divBdr>
        <w:top w:val="none" w:sz="0" w:space="0" w:color="auto"/>
        <w:left w:val="none" w:sz="0" w:space="0" w:color="auto"/>
        <w:bottom w:val="none" w:sz="0" w:space="0" w:color="auto"/>
        <w:right w:val="none" w:sz="0" w:space="0" w:color="auto"/>
      </w:divBdr>
    </w:div>
    <w:div w:id="340204112">
      <w:bodyDiv w:val="1"/>
      <w:marLeft w:val="0"/>
      <w:marRight w:val="0"/>
      <w:marTop w:val="0"/>
      <w:marBottom w:val="0"/>
      <w:divBdr>
        <w:top w:val="none" w:sz="0" w:space="0" w:color="auto"/>
        <w:left w:val="none" w:sz="0" w:space="0" w:color="auto"/>
        <w:bottom w:val="none" w:sz="0" w:space="0" w:color="auto"/>
        <w:right w:val="none" w:sz="0" w:space="0" w:color="auto"/>
      </w:divBdr>
    </w:div>
    <w:div w:id="356468015">
      <w:bodyDiv w:val="1"/>
      <w:marLeft w:val="0"/>
      <w:marRight w:val="0"/>
      <w:marTop w:val="0"/>
      <w:marBottom w:val="0"/>
      <w:divBdr>
        <w:top w:val="none" w:sz="0" w:space="0" w:color="auto"/>
        <w:left w:val="none" w:sz="0" w:space="0" w:color="auto"/>
        <w:bottom w:val="none" w:sz="0" w:space="0" w:color="auto"/>
        <w:right w:val="none" w:sz="0" w:space="0" w:color="auto"/>
      </w:divBdr>
    </w:div>
    <w:div w:id="373389922">
      <w:bodyDiv w:val="1"/>
      <w:marLeft w:val="0"/>
      <w:marRight w:val="0"/>
      <w:marTop w:val="0"/>
      <w:marBottom w:val="0"/>
      <w:divBdr>
        <w:top w:val="none" w:sz="0" w:space="0" w:color="auto"/>
        <w:left w:val="none" w:sz="0" w:space="0" w:color="auto"/>
        <w:bottom w:val="none" w:sz="0" w:space="0" w:color="auto"/>
        <w:right w:val="none" w:sz="0" w:space="0" w:color="auto"/>
      </w:divBdr>
    </w:div>
    <w:div w:id="377437266">
      <w:bodyDiv w:val="1"/>
      <w:marLeft w:val="0"/>
      <w:marRight w:val="0"/>
      <w:marTop w:val="0"/>
      <w:marBottom w:val="0"/>
      <w:divBdr>
        <w:top w:val="none" w:sz="0" w:space="0" w:color="auto"/>
        <w:left w:val="none" w:sz="0" w:space="0" w:color="auto"/>
        <w:bottom w:val="none" w:sz="0" w:space="0" w:color="auto"/>
        <w:right w:val="none" w:sz="0" w:space="0" w:color="auto"/>
      </w:divBdr>
    </w:div>
    <w:div w:id="387996830">
      <w:bodyDiv w:val="1"/>
      <w:marLeft w:val="0"/>
      <w:marRight w:val="0"/>
      <w:marTop w:val="0"/>
      <w:marBottom w:val="0"/>
      <w:divBdr>
        <w:top w:val="none" w:sz="0" w:space="0" w:color="auto"/>
        <w:left w:val="none" w:sz="0" w:space="0" w:color="auto"/>
        <w:bottom w:val="none" w:sz="0" w:space="0" w:color="auto"/>
        <w:right w:val="none" w:sz="0" w:space="0" w:color="auto"/>
      </w:divBdr>
    </w:div>
    <w:div w:id="392899527">
      <w:bodyDiv w:val="1"/>
      <w:marLeft w:val="0"/>
      <w:marRight w:val="0"/>
      <w:marTop w:val="0"/>
      <w:marBottom w:val="0"/>
      <w:divBdr>
        <w:top w:val="none" w:sz="0" w:space="0" w:color="auto"/>
        <w:left w:val="none" w:sz="0" w:space="0" w:color="auto"/>
        <w:bottom w:val="none" w:sz="0" w:space="0" w:color="auto"/>
        <w:right w:val="none" w:sz="0" w:space="0" w:color="auto"/>
      </w:divBdr>
    </w:div>
    <w:div w:id="398022803">
      <w:bodyDiv w:val="1"/>
      <w:marLeft w:val="0"/>
      <w:marRight w:val="0"/>
      <w:marTop w:val="0"/>
      <w:marBottom w:val="0"/>
      <w:divBdr>
        <w:top w:val="none" w:sz="0" w:space="0" w:color="auto"/>
        <w:left w:val="none" w:sz="0" w:space="0" w:color="auto"/>
        <w:bottom w:val="none" w:sz="0" w:space="0" w:color="auto"/>
        <w:right w:val="none" w:sz="0" w:space="0" w:color="auto"/>
      </w:divBdr>
    </w:div>
    <w:div w:id="430274904">
      <w:bodyDiv w:val="1"/>
      <w:marLeft w:val="0"/>
      <w:marRight w:val="0"/>
      <w:marTop w:val="0"/>
      <w:marBottom w:val="0"/>
      <w:divBdr>
        <w:top w:val="none" w:sz="0" w:space="0" w:color="auto"/>
        <w:left w:val="none" w:sz="0" w:space="0" w:color="auto"/>
        <w:bottom w:val="none" w:sz="0" w:space="0" w:color="auto"/>
        <w:right w:val="none" w:sz="0" w:space="0" w:color="auto"/>
      </w:divBdr>
    </w:div>
    <w:div w:id="433983250">
      <w:bodyDiv w:val="1"/>
      <w:marLeft w:val="0"/>
      <w:marRight w:val="0"/>
      <w:marTop w:val="0"/>
      <w:marBottom w:val="0"/>
      <w:divBdr>
        <w:top w:val="none" w:sz="0" w:space="0" w:color="auto"/>
        <w:left w:val="none" w:sz="0" w:space="0" w:color="auto"/>
        <w:bottom w:val="none" w:sz="0" w:space="0" w:color="auto"/>
        <w:right w:val="none" w:sz="0" w:space="0" w:color="auto"/>
      </w:divBdr>
    </w:div>
    <w:div w:id="445658109">
      <w:bodyDiv w:val="1"/>
      <w:marLeft w:val="0"/>
      <w:marRight w:val="0"/>
      <w:marTop w:val="0"/>
      <w:marBottom w:val="0"/>
      <w:divBdr>
        <w:top w:val="none" w:sz="0" w:space="0" w:color="auto"/>
        <w:left w:val="none" w:sz="0" w:space="0" w:color="auto"/>
        <w:bottom w:val="none" w:sz="0" w:space="0" w:color="auto"/>
        <w:right w:val="none" w:sz="0" w:space="0" w:color="auto"/>
      </w:divBdr>
    </w:div>
    <w:div w:id="452485566">
      <w:bodyDiv w:val="1"/>
      <w:marLeft w:val="0"/>
      <w:marRight w:val="0"/>
      <w:marTop w:val="0"/>
      <w:marBottom w:val="0"/>
      <w:divBdr>
        <w:top w:val="none" w:sz="0" w:space="0" w:color="auto"/>
        <w:left w:val="none" w:sz="0" w:space="0" w:color="auto"/>
        <w:bottom w:val="none" w:sz="0" w:space="0" w:color="auto"/>
        <w:right w:val="none" w:sz="0" w:space="0" w:color="auto"/>
      </w:divBdr>
    </w:div>
    <w:div w:id="458299398">
      <w:bodyDiv w:val="1"/>
      <w:marLeft w:val="0"/>
      <w:marRight w:val="0"/>
      <w:marTop w:val="0"/>
      <w:marBottom w:val="0"/>
      <w:divBdr>
        <w:top w:val="none" w:sz="0" w:space="0" w:color="auto"/>
        <w:left w:val="none" w:sz="0" w:space="0" w:color="auto"/>
        <w:bottom w:val="none" w:sz="0" w:space="0" w:color="auto"/>
        <w:right w:val="none" w:sz="0" w:space="0" w:color="auto"/>
      </w:divBdr>
    </w:div>
    <w:div w:id="465585885">
      <w:bodyDiv w:val="1"/>
      <w:marLeft w:val="0"/>
      <w:marRight w:val="0"/>
      <w:marTop w:val="0"/>
      <w:marBottom w:val="0"/>
      <w:divBdr>
        <w:top w:val="none" w:sz="0" w:space="0" w:color="auto"/>
        <w:left w:val="none" w:sz="0" w:space="0" w:color="auto"/>
        <w:bottom w:val="none" w:sz="0" w:space="0" w:color="auto"/>
        <w:right w:val="none" w:sz="0" w:space="0" w:color="auto"/>
      </w:divBdr>
    </w:div>
    <w:div w:id="486868531">
      <w:bodyDiv w:val="1"/>
      <w:marLeft w:val="0"/>
      <w:marRight w:val="0"/>
      <w:marTop w:val="0"/>
      <w:marBottom w:val="0"/>
      <w:divBdr>
        <w:top w:val="none" w:sz="0" w:space="0" w:color="auto"/>
        <w:left w:val="none" w:sz="0" w:space="0" w:color="auto"/>
        <w:bottom w:val="none" w:sz="0" w:space="0" w:color="auto"/>
        <w:right w:val="none" w:sz="0" w:space="0" w:color="auto"/>
      </w:divBdr>
    </w:div>
    <w:div w:id="487329254">
      <w:bodyDiv w:val="1"/>
      <w:marLeft w:val="0"/>
      <w:marRight w:val="0"/>
      <w:marTop w:val="0"/>
      <w:marBottom w:val="0"/>
      <w:divBdr>
        <w:top w:val="none" w:sz="0" w:space="0" w:color="auto"/>
        <w:left w:val="none" w:sz="0" w:space="0" w:color="auto"/>
        <w:bottom w:val="none" w:sz="0" w:space="0" w:color="auto"/>
        <w:right w:val="none" w:sz="0" w:space="0" w:color="auto"/>
      </w:divBdr>
    </w:div>
    <w:div w:id="539054926">
      <w:bodyDiv w:val="1"/>
      <w:marLeft w:val="0"/>
      <w:marRight w:val="0"/>
      <w:marTop w:val="0"/>
      <w:marBottom w:val="0"/>
      <w:divBdr>
        <w:top w:val="none" w:sz="0" w:space="0" w:color="auto"/>
        <w:left w:val="none" w:sz="0" w:space="0" w:color="auto"/>
        <w:bottom w:val="none" w:sz="0" w:space="0" w:color="auto"/>
        <w:right w:val="none" w:sz="0" w:space="0" w:color="auto"/>
      </w:divBdr>
    </w:div>
    <w:div w:id="540361849">
      <w:bodyDiv w:val="1"/>
      <w:marLeft w:val="0"/>
      <w:marRight w:val="0"/>
      <w:marTop w:val="0"/>
      <w:marBottom w:val="0"/>
      <w:divBdr>
        <w:top w:val="none" w:sz="0" w:space="0" w:color="auto"/>
        <w:left w:val="none" w:sz="0" w:space="0" w:color="auto"/>
        <w:bottom w:val="none" w:sz="0" w:space="0" w:color="auto"/>
        <w:right w:val="none" w:sz="0" w:space="0" w:color="auto"/>
      </w:divBdr>
    </w:div>
    <w:div w:id="543172748">
      <w:bodyDiv w:val="1"/>
      <w:marLeft w:val="0"/>
      <w:marRight w:val="0"/>
      <w:marTop w:val="0"/>
      <w:marBottom w:val="0"/>
      <w:divBdr>
        <w:top w:val="none" w:sz="0" w:space="0" w:color="auto"/>
        <w:left w:val="none" w:sz="0" w:space="0" w:color="auto"/>
        <w:bottom w:val="none" w:sz="0" w:space="0" w:color="auto"/>
        <w:right w:val="none" w:sz="0" w:space="0" w:color="auto"/>
      </w:divBdr>
    </w:div>
    <w:div w:id="556204469">
      <w:bodyDiv w:val="1"/>
      <w:marLeft w:val="0"/>
      <w:marRight w:val="0"/>
      <w:marTop w:val="0"/>
      <w:marBottom w:val="0"/>
      <w:divBdr>
        <w:top w:val="none" w:sz="0" w:space="0" w:color="auto"/>
        <w:left w:val="none" w:sz="0" w:space="0" w:color="auto"/>
        <w:bottom w:val="none" w:sz="0" w:space="0" w:color="auto"/>
        <w:right w:val="none" w:sz="0" w:space="0" w:color="auto"/>
      </w:divBdr>
    </w:div>
    <w:div w:id="556668435">
      <w:bodyDiv w:val="1"/>
      <w:marLeft w:val="0"/>
      <w:marRight w:val="0"/>
      <w:marTop w:val="0"/>
      <w:marBottom w:val="0"/>
      <w:divBdr>
        <w:top w:val="none" w:sz="0" w:space="0" w:color="auto"/>
        <w:left w:val="none" w:sz="0" w:space="0" w:color="auto"/>
        <w:bottom w:val="none" w:sz="0" w:space="0" w:color="auto"/>
        <w:right w:val="none" w:sz="0" w:space="0" w:color="auto"/>
      </w:divBdr>
    </w:div>
    <w:div w:id="567303227">
      <w:bodyDiv w:val="1"/>
      <w:marLeft w:val="0"/>
      <w:marRight w:val="0"/>
      <w:marTop w:val="0"/>
      <w:marBottom w:val="0"/>
      <w:divBdr>
        <w:top w:val="none" w:sz="0" w:space="0" w:color="auto"/>
        <w:left w:val="none" w:sz="0" w:space="0" w:color="auto"/>
        <w:bottom w:val="none" w:sz="0" w:space="0" w:color="auto"/>
        <w:right w:val="none" w:sz="0" w:space="0" w:color="auto"/>
      </w:divBdr>
    </w:div>
    <w:div w:id="587232243">
      <w:bodyDiv w:val="1"/>
      <w:marLeft w:val="0"/>
      <w:marRight w:val="0"/>
      <w:marTop w:val="0"/>
      <w:marBottom w:val="0"/>
      <w:divBdr>
        <w:top w:val="none" w:sz="0" w:space="0" w:color="auto"/>
        <w:left w:val="none" w:sz="0" w:space="0" w:color="auto"/>
        <w:bottom w:val="none" w:sz="0" w:space="0" w:color="auto"/>
        <w:right w:val="none" w:sz="0" w:space="0" w:color="auto"/>
      </w:divBdr>
    </w:div>
    <w:div w:id="626856608">
      <w:bodyDiv w:val="1"/>
      <w:marLeft w:val="0"/>
      <w:marRight w:val="0"/>
      <w:marTop w:val="0"/>
      <w:marBottom w:val="0"/>
      <w:divBdr>
        <w:top w:val="none" w:sz="0" w:space="0" w:color="auto"/>
        <w:left w:val="none" w:sz="0" w:space="0" w:color="auto"/>
        <w:bottom w:val="none" w:sz="0" w:space="0" w:color="auto"/>
        <w:right w:val="none" w:sz="0" w:space="0" w:color="auto"/>
      </w:divBdr>
    </w:div>
    <w:div w:id="650519665">
      <w:bodyDiv w:val="1"/>
      <w:marLeft w:val="0"/>
      <w:marRight w:val="0"/>
      <w:marTop w:val="0"/>
      <w:marBottom w:val="0"/>
      <w:divBdr>
        <w:top w:val="none" w:sz="0" w:space="0" w:color="auto"/>
        <w:left w:val="none" w:sz="0" w:space="0" w:color="auto"/>
        <w:bottom w:val="none" w:sz="0" w:space="0" w:color="auto"/>
        <w:right w:val="none" w:sz="0" w:space="0" w:color="auto"/>
      </w:divBdr>
    </w:div>
    <w:div w:id="657684356">
      <w:bodyDiv w:val="1"/>
      <w:marLeft w:val="0"/>
      <w:marRight w:val="0"/>
      <w:marTop w:val="0"/>
      <w:marBottom w:val="0"/>
      <w:divBdr>
        <w:top w:val="none" w:sz="0" w:space="0" w:color="auto"/>
        <w:left w:val="none" w:sz="0" w:space="0" w:color="auto"/>
        <w:bottom w:val="none" w:sz="0" w:space="0" w:color="auto"/>
        <w:right w:val="none" w:sz="0" w:space="0" w:color="auto"/>
      </w:divBdr>
    </w:div>
    <w:div w:id="671639855">
      <w:bodyDiv w:val="1"/>
      <w:marLeft w:val="0"/>
      <w:marRight w:val="0"/>
      <w:marTop w:val="0"/>
      <w:marBottom w:val="0"/>
      <w:divBdr>
        <w:top w:val="none" w:sz="0" w:space="0" w:color="auto"/>
        <w:left w:val="none" w:sz="0" w:space="0" w:color="auto"/>
        <w:bottom w:val="none" w:sz="0" w:space="0" w:color="auto"/>
        <w:right w:val="none" w:sz="0" w:space="0" w:color="auto"/>
      </w:divBdr>
    </w:div>
    <w:div w:id="671643037">
      <w:bodyDiv w:val="1"/>
      <w:marLeft w:val="0"/>
      <w:marRight w:val="0"/>
      <w:marTop w:val="0"/>
      <w:marBottom w:val="0"/>
      <w:divBdr>
        <w:top w:val="none" w:sz="0" w:space="0" w:color="auto"/>
        <w:left w:val="none" w:sz="0" w:space="0" w:color="auto"/>
        <w:bottom w:val="none" w:sz="0" w:space="0" w:color="auto"/>
        <w:right w:val="none" w:sz="0" w:space="0" w:color="auto"/>
      </w:divBdr>
    </w:div>
    <w:div w:id="697320616">
      <w:bodyDiv w:val="1"/>
      <w:marLeft w:val="0"/>
      <w:marRight w:val="0"/>
      <w:marTop w:val="0"/>
      <w:marBottom w:val="0"/>
      <w:divBdr>
        <w:top w:val="none" w:sz="0" w:space="0" w:color="auto"/>
        <w:left w:val="none" w:sz="0" w:space="0" w:color="auto"/>
        <w:bottom w:val="none" w:sz="0" w:space="0" w:color="auto"/>
        <w:right w:val="none" w:sz="0" w:space="0" w:color="auto"/>
      </w:divBdr>
    </w:div>
    <w:div w:id="719549600">
      <w:bodyDiv w:val="1"/>
      <w:marLeft w:val="0"/>
      <w:marRight w:val="0"/>
      <w:marTop w:val="0"/>
      <w:marBottom w:val="0"/>
      <w:divBdr>
        <w:top w:val="none" w:sz="0" w:space="0" w:color="auto"/>
        <w:left w:val="none" w:sz="0" w:space="0" w:color="auto"/>
        <w:bottom w:val="none" w:sz="0" w:space="0" w:color="auto"/>
        <w:right w:val="none" w:sz="0" w:space="0" w:color="auto"/>
      </w:divBdr>
    </w:div>
    <w:div w:id="720833851">
      <w:bodyDiv w:val="1"/>
      <w:marLeft w:val="0"/>
      <w:marRight w:val="0"/>
      <w:marTop w:val="0"/>
      <w:marBottom w:val="0"/>
      <w:divBdr>
        <w:top w:val="none" w:sz="0" w:space="0" w:color="auto"/>
        <w:left w:val="none" w:sz="0" w:space="0" w:color="auto"/>
        <w:bottom w:val="none" w:sz="0" w:space="0" w:color="auto"/>
        <w:right w:val="none" w:sz="0" w:space="0" w:color="auto"/>
      </w:divBdr>
    </w:div>
    <w:div w:id="728454826">
      <w:bodyDiv w:val="1"/>
      <w:marLeft w:val="0"/>
      <w:marRight w:val="0"/>
      <w:marTop w:val="0"/>
      <w:marBottom w:val="0"/>
      <w:divBdr>
        <w:top w:val="none" w:sz="0" w:space="0" w:color="auto"/>
        <w:left w:val="none" w:sz="0" w:space="0" w:color="auto"/>
        <w:bottom w:val="none" w:sz="0" w:space="0" w:color="auto"/>
        <w:right w:val="none" w:sz="0" w:space="0" w:color="auto"/>
      </w:divBdr>
    </w:div>
    <w:div w:id="743911567">
      <w:bodyDiv w:val="1"/>
      <w:marLeft w:val="0"/>
      <w:marRight w:val="0"/>
      <w:marTop w:val="0"/>
      <w:marBottom w:val="0"/>
      <w:divBdr>
        <w:top w:val="none" w:sz="0" w:space="0" w:color="auto"/>
        <w:left w:val="none" w:sz="0" w:space="0" w:color="auto"/>
        <w:bottom w:val="none" w:sz="0" w:space="0" w:color="auto"/>
        <w:right w:val="none" w:sz="0" w:space="0" w:color="auto"/>
      </w:divBdr>
    </w:div>
    <w:div w:id="769618086">
      <w:bodyDiv w:val="1"/>
      <w:marLeft w:val="0"/>
      <w:marRight w:val="0"/>
      <w:marTop w:val="0"/>
      <w:marBottom w:val="0"/>
      <w:divBdr>
        <w:top w:val="none" w:sz="0" w:space="0" w:color="auto"/>
        <w:left w:val="none" w:sz="0" w:space="0" w:color="auto"/>
        <w:bottom w:val="none" w:sz="0" w:space="0" w:color="auto"/>
        <w:right w:val="none" w:sz="0" w:space="0" w:color="auto"/>
      </w:divBdr>
    </w:div>
    <w:div w:id="772749576">
      <w:bodyDiv w:val="1"/>
      <w:marLeft w:val="0"/>
      <w:marRight w:val="0"/>
      <w:marTop w:val="0"/>
      <w:marBottom w:val="0"/>
      <w:divBdr>
        <w:top w:val="none" w:sz="0" w:space="0" w:color="auto"/>
        <w:left w:val="none" w:sz="0" w:space="0" w:color="auto"/>
        <w:bottom w:val="none" w:sz="0" w:space="0" w:color="auto"/>
        <w:right w:val="none" w:sz="0" w:space="0" w:color="auto"/>
      </w:divBdr>
    </w:div>
    <w:div w:id="781077470">
      <w:bodyDiv w:val="1"/>
      <w:marLeft w:val="0"/>
      <w:marRight w:val="0"/>
      <w:marTop w:val="0"/>
      <w:marBottom w:val="0"/>
      <w:divBdr>
        <w:top w:val="none" w:sz="0" w:space="0" w:color="auto"/>
        <w:left w:val="none" w:sz="0" w:space="0" w:color="auto"/>
        <w:bottom w:val="none" w:sz="0" w:space="0" w:color="auto"/>
        <w:right w:val="none" w:sz="0" w:space="0" w:color="auto"/>
      </w:divBdr>
    </w:div>
    <w:div w:id="791904178">
      <w:bodyDiv w:val="1"/>
      <w:marLeft w:val="0"/>
      <w:marRight w:val="0"/>
      <w:marTop w:val="0"/>
      <w:marBottom w:val="0"/>
      <w:divBdr>
        <w:top w:val="none" w:sz="0" w:space="0" w:color="auto"/>
        <w:left w:val="none" w:sz="0" w:space="0" w:color="auto"/>
        <w:bottom w:val="none" w:sz="0" w:space="0" w:color="auto"/>
        <w:right w:val="none" w:sz="0" w:space="0" w:color="auto"/>
      </w:divBdr>
    </w:div>
    <w:div w:id="793445346">
      <w:bodyDiv w:val="1"/>
      <w:marLeft w:val="0"/>
      <w:marRight w:val="0"/>
      <w:marTop w:val="0"/>
      <w:marBottom w:val="0"/>
      <w:divBdr>
        <w:top w:val="none" w:sz="0" w:space="0" w:color="auto"/>
        <w:left w:val="none" w:sz="0" w:space="0" w:color="auto"/>
        <w:bottom w:val="none" w:sz="0" w:space="0" w:color="auto"/>
        <w:right w:val="none" w:sz="0" w:space="0" w:color="auto"/>
      </w:divBdr>
    </w:div>
    <w:div w:id="804927503">
      <w:bodyDiv w:val="1"/>
      <w:marLeft w:val="0"/>
      <w:marRight w:val="0"/>
      <w:marTop w:val="0"/>
      <w:marBottom w:val="0"/>
      <w:divBdr>
        <w:top w:val="none" w:sz="0" w:space="0" w:color="auto"/>
        <w:left w:val="none" w:sz="0" w:space="0" w:color="auto"/>
        <w:bottom w:val="none" w:sz="0" w:space="0" w:color="auto"/>
        <w:right w:val="none" w:sz="0" w:space="0" w:color="auto"/>
      </w:divBdr>
    </w:div>
    <w:div w:id="834878728">
      <w:bodyDiv w:val="1"/>
      <w:marLeft w:val="0"/>
      <w:marRight w:val="0"/>
      <w:marTop w:val="0"/>
      <w:marBottom w:val="0"/>
      <w:divBdr>
        <w:top w:val="none" w:sz="0" w:space="0" w:color="auto"/>
        <w:left w:val="none" w:sz="0" w:space="0" w:color="auto"/>
        <w:bottom w:val="none" w:sz="0" w:space="0" w:color="auto"/>
        <w:right w:val="none" w:sz="0" w:space="0" w:color="auto"/>
      </w:divBdr>
    </w:div>
    <w:div w:id="853769875">
      <w:bodyDiv w:val="1"/>
      <w:marLeft w:val="0"/>
      <w:marRight w:val="0"/>
      <w:marTop w:val="0"/>
      <w:marBottom w:val="0"/>
      <w:divBdr>
        <w:top w:val="none" w:sz="0" w:space="0" w:color="auto"/>
        <w:left w:val="none" w:sz="0" w:space="0" w:color="auto"/>
        <w:bottom w:val="none" w:sz="0" w:space="0" w:color="auto"/>
        <w:right w:val="none" w:sz="0" w:space="0" w:color="auto"/>
      </w:divBdr>
    </w:div>
    <w:div w:id="884177197">
      <w:bodyDiv w:val="1"/>
      <w:marLeft w:val="0"/>
      <w:marRight w:val="0"/>
      <w:marTop w:val="0"/>
      <w:marBottom w:val="0"/>
      <w:divBdr>
        <w:top w:val="none" w:sz="0" w:space="0" w:color="auto"/>
        <w:left w:val="none" w:sz="0" w:space="0" w:color="auto"/>
        <w:bottom w:val="none" w:sz="0" w:space="0" w:color="auto"/>
        <w:right w:val="none" w:sz="0" w:space="0" w:color="auto"/>
      </w:divBdr>
    </w:div>
    <w:div w:id="886260930">
      <w:bodyDiv w:val="1"/>
      <w:marLeft w:val="0"/>
      <w:marRight w:val="0"/>
      <w:marTop w:val="0"/>
      <w:marBottom w:val="0"/>
      <w:divBdr>
        <w:top w:val="none" w:sz="0" w:space="0" w:color="auto"/>
        <w:left w:val="none" w:sz="0" w:space="0" w:color="auto"/>
        <w:bottom w:val="none" w:sz="0" w:space="0" w:color="auto"/>
        <w:right w:val="none" w:sz="0" w:space="0" w:color="auto"/>
      </w:divBdr>
    </w:div>
    <w:div w:id="907157696">
      <w:bodyDiv w:val="1"/>
      <w:marLeft w:val="0"/>
      <w:marRight w:val="0"/>
      <w:marTop w:val="0"/>
      <w:marBottom w:val="0"/>
      <w:divBdr>
        <w:top w:val="none" w:sz="0" w:space="0" w:color="auto"/>
        <w:left w:val="none" w:sz="0" w:space="0" w:color="auto"/>
        <w:bottom w:val="none" w:sz="0" w:space="0" w:color="auto"/>
        <w:right w:val="none" w:sz="0" w:space="0" w:color="auto"/>
      </w:divBdr>
    </w:div>
    <w:div w:id="921641409">
      <w:bodyDiv w:val="1"/>
      <w:marLeft w:val="0"/>
      <w:marRight w:val="0"/>
      <w:marTop w:val="0"/>
      <w:marBottom w:val="0"/>
      <w:divBdr>
        <w:top w:val="none" w:sz="0" w:space="0" w:color="auto"/>
        <w:left w:val="none" w:sz="0" w:space="0" w:color="auto"/>
        <w:bottom w:val="none" w:sz="0" w:space="0" w:color="auto"/>
        <w:right w:val="none" w:sz="0" w:space="0" w:color="auto"/>
      </w:divBdr>
    </w:div>
    <w:div w:id="942569426">
      <w:bodyDiv w:val="1"/>
      <w:marLeft w:val="0"/>
      <w:marRight w:val="0"/>
      <w:marTop w:val="0"/>
      <w:marBottom w:val="0"/>
      <w:divBdr>
        <w:top w:val="none" w:sz="0" w:space="0" w:color="auto"/>
        <w:left w:val="none" w:sz="0" w:space="0" w:color="auto"/>
        <w:bottom w:val="none" w:sz="0" w:space="0" w:color="auto"/>
        <w:right w:val="none" w:sz="0" w:space="0" w:color="auto"/>
      </w:divBdr>
    </w:div>
    <w:div w:id="982194622">
      <w:bodyDiv w:val="1"/>
      <w:marLeft w:val="0"/>
      <w:marRight w:val="0"/>
      <w:marTop w:val="0"/>
      <w:marBottom w:val="0"/>
      <w:divBdr>
        <w:top w:val="none" w:sz="0" w:space="0" w:color="auto"/>
        <w:left w:val="none" w:sz="0" w:space="0" w:color="auto"/>
        <w:bottom w:val="none" w:sz="0" w:space="0" w:color="auto"/>
        <w:right w:val="none" w:sz="0" w:space="0" w:color="auto"/>
      </w:divBdr>
    </w:div>
    <w:div w:id="984120347">
      <w:bodyDiv w:val="1"/>
      <w:marLeft w:val="0"/>
      <w:marRight w:val="0"/>
      <w:marTop w:val="0"/>
      <w:marBottom w:val="0"/>
      <w:divBdr>
        <w:top w:val="none" w:sz="0" w:space="0" w:color="auto"/>
        <w:left w:val="none" w:sz="0" w:space="0" w:color="auto"/>
        <w:bottom w:val="none" w:sz="0" w:space="0" w:color="auto"/>
        <w:right w:val="none" w:sz="0" w:space="0" w:color="auto"/>
      </w:divBdr>
    </w:div>
    <w:div w:id="987052356">
      <w:bodyDiv w:val="1"/>
      <w:marLeft w:val="0"/>
      <w:marRight w:val="0"/>
      <w:marTop w:val="0"/>
      <w:marBottom w:val="0"/>
      <w:divBdr>
        <w:top w:val="none" w:sz="0" w:space="0" w:color="auto"/>
        <w:left w:val="none" w:sz="0" w:space="0" w:color="auto"/>
        <w:bottom w:val="none" w:sz="0" w:space="0" w:color="auto"/>
        <w:right w:val="none" w:sz="0" w:space="0" w:color="auto"/>
      </w:divBdr>
    </w:div>
    <w:div w:id="990134022">
      <w:bodyDiv w:val="1"/>
      <w:marLeft w:val="0"/>
      <w:marRight w:val="0"/>
      <w:marTop w:val="0"/>
      <w:marBottom w:val="0"/>
      <w:divBdr>
        <w:top w:val="none" w:sz="0" w:space="0" w:color="auto"/>
        <w:left w:val="none" w:sz="0" w:space="0" w:color="auto"/>
        <w:bottom w:val="none" w:sz="0" w:space="0" w:color="auto"/>
        <w:right w:val="none" w:sz="0" w:space="0" w:color="auto"/>
      </w:divBdr>
    </w:div>
    <w:div w:id="998115263">
      <w:bodyDiv w:val="1"/>
      <w:marLeft w:val="0"/>
      <w:marRight w:val="0"/>
      <w:marTop w:val="0"/>
      <w:marBottom w:val="0"/>
      <w:divBdr>
        <w:top w:val="none" w:sz="0" w:space="0" w:color="auto"/>
        <w:left w:val="none" w:sz="0" w:space="0" w:color="auto"/>
        <w:bottom w:val="none" w:sz="0" w:space="0" w:color="auto"/>
        <w:right w:val="none" w:sz="0" w:space="0" w:color="auto"/>
      </w:divBdr>
    </w:div>
    <w:div w:id="1000962617">
      <w:bodyDiv w:val="1"/>
      <w:marLeft w:val="0"/>
      <w:marRight w:val="0"/>
      <w:marTop w:val="0"/>
      <w:marBottom w:val="0"/>
      <w:divBdr>
        <w:top w:val="none" w:sz="0" w:space="0" w:color="auto"/>
        <w:left w:val="none" w:sz="0" w:space="0" w:color="auto"/>
        <w:bottom w:val="none" w:sz="0" w:space="0" w:color="auto"/>
        <w:right w:val="none" w:sz="0" w:space="0" w:color="auto"/>
      </w:divBdr>
    </w:div>
    <w:div w:id="1020858413">
      <w:bodyDiv w:val="1"/>
      <w:marLeft w:val="0"/>
      <w:marRight w:val="0"/>
      <w:marTop w:val="0"/>
      <w:marBottom w:val="0"/>
      <w:divBdr>
        <w:top w:val="none" w:sz="0" w:space="0" w:color="auto"/>
        <w:left w:val="none" w:sz="0" w:space="0" w:color="auto"/>
        <w:bottom w:val="none" w:sz="0" w:space="0" w:color="auto"/>
        <w:right w:val="none" w:sz="0" w:space="0" w:color="auto"/>
      </w:divBdr>
    </w:div>
    <w:div w:id="1046492093">
      <w:bodyDiv w:val="1"/>
      <w:marLeft w:val="0"/>
      <w:marRight w:val="0"/>
      <w:marTop w:val="0"/>
      <w:marBottom w:val="0"/>
      <w:divBdr>
        <w:top w:val="none" w:sz="0" w:space="0" w:color="auto"/>
        <w:left w:val="none" w:sz="0" w:space="0" w:color="auto"/>
        <w:bottom w:val="none" w:sz="0" w:space="0" w:color="auto"/>
        <w:right w:val="none" w:sz="0" w:space="0" w:color="auto"/>
      </w:divBdr>
    </w:div>
    <w:div w:id="1065371749">
      <w:bodyDiv w:val="1"/>
      <w:marLeft w:val="0"/>
      <w:marRight w:val="0"/>
      <w:marTop w:val="0"/>
      <w:marBottom w:val="0"/>
      <w:divBdr>
        <w:top w:val="none" w:sz="0" w:space="0" w:color="auto"/>
        <w:left w:val="none" w:sz="0" w:space="0" w:color="auto"/>
        <w:bottom w:val="none" w:sz="0" w:space="0" w:color="auto"/>
        <w:right w:val="none" w:sz="0" w:space="0" w:color="auto"/>
      </w:divBdr>
    </w:div>
    <w:div w:id="1088766969">
      <w:bodyDiv w:val="1"/>
      <w:marLeft w:val="0"/>
      <w:marRight w:val="0"/>
      <w:marTop w:val="0"/>
      <w:marBottom w:val="0"/>
      <w:divBdr>
        <w:top w:val="none" w:sz="0" w:space="0" w:color="auto"/>
        <w:left w:val="none" w:sz="0" w:space="0" w:color="auto"/>
        <w:bottom w:val="none" w:sz="0" w:space="0" w:color="auto"/>
        <w:right w:val="none" w:sz="0" w:space="0" w:color="auto"/>
      </w:divBdr>
    </w:div>
    <w:div w:id="1097335606">
      <w:bodyDiv w:val="1"/>
      <w:marLeft w:val="0"/>
      <w:marRight w:val="0"/>
      <w:marTop w:val="0"/>
      <w:marBottom w:val="0"/>
      <w:divBdr>
        <w:top w:val="none" w:sz="0" w:space="0" w:color="auto"/>
        <w:left w:val="none" w:sz="0" w:space="0" w:color="auto"/>
        <w:bottom w:val="none" w:sz="0" w:space="0" w:color="auto"/>
        <w:right w:val="none" w:sz="0" w:space="0" w:color="auto"/>
      </w:divBdr>
    </w:div>
    <w:div w:id="1098646378">
      <w:bodyDiv w:val="1"/>
      <w:marLeft w:val="0"/>
      <w:marRight w:val="0"/>
      <w:marTop w:val="0"/>
      <w:marBottom w:val="0"/>
      <w:divBdr>
        <w:top w:val="none" w:sz="0" w:space="0" w:color="auto"/>
        <w:left w:val="none" w:sz="0" w:space="0" w:color="auto"/>
        <w:bottom w:val="none" w:sz="0" w:space="0" w:color="auto"/>
        <w:right w:val="none" w:sz="0" w:space="0" w:color="auto"/>
      </w:divBdr>
    </w:div>
    <w:div w:id="1131509190">
      <w:bodyDiv w:val="1"/>
      <w:marLeft w:val="0"/>
      <w:marRight w:val="0"/>
      <w:marTop w:val="0"/>
      <w:marBottom w:val="0"/>
      <w:divBdr>
        <w:top w:val="none" w:sz="0" w:space="0" w:color="auto"/>
        <w:left w:val="none" w:sz="0" w:space="0" w:color="auto"/>
        <w:bottom w:val="none" w:sz="0" w:space="0" w:color="auto"/>
        <w:right w:val="none" w:sz="0" w:space="0" w:color="auto"/>
      </w:divBdr>
    </w:div>
    <w:div w:id="1144271525">
      <w:bodyDiv w:val="1"/>
      <w:marLeft w:val="0"/>
      <w:marRight w:val="0"/>
      <w:marTop w:val="0"/>
      <w:marBottom w:val="0"/>
      <w:divBdr>
        <w:top w:val="none" w:sz="0" w:space="0" w:color="auto"/>
        <w:left w:val="none" w:sz="0" w:space="0" w:color="auto"/>
        <w:bottom w:val="none" w:sz="0" w:space="0" w:color="auto"/>
        <w:right w:val="none" w:sz="0" w:space="0" w:color="auto"/>
      </w:divBdr>
    </w:div>
    <w:div w:id="1168473025">
      <w:bodyDiv w:val="1"/>
      <w:marLeft w:val="0"/>
      <w:marRight w:val="0"/>
      <w:marTop w:val="0"/>
      <w:marBottom w:val="0"/>
      <w:divBdr>
        <w:top w:val="none" w:sz="0" w:space="0" w:color="auto"/>
        <w:left w:val="none" w:sz="0" w:space="0" w:color="auto"/>
        <w:bottom w:val="none" w:sz="0" w:space="0" w:color="auto"/>
        <w:right w:val="none" w:sz="0" w:space="0" w:color="auto"/>
      </w:divBdr>
    </w:div>
    <w:div w:id="1180654327">
      <w:bodyDiv w:val="1"/>
      <w:marLeft w:val="0"/>
      <w:marRight w:val="0"/>
      <w:marTop w:val="0"/>
      <w:marBottom w:val="0"/>
      <w:divBdr>
        <w:top w:val="none" w:sz="0" w:space="0" w:color="auto"/>
        <w:left w:val="none" w:sz="0" w:space="0" w:color="auto"/>
        <w:bottom w:val="none" w:sz="0" w:space="0" w:color="auto"/>
        <w:right w:val="none" w:sz="0" w:space="0" w:color="auto"/>
      </w:divBdr>
    </w:div>
    <w:div w:id="1186287612">
      <w:bodyDiv w:val="1"/>
      <w:marLeft w:val="0"/>
      <w:marRight w:val="0"/>
      <w:marTop w:val="0"/>
      <w:marBottom w:val="0"/>
      <w:divBdr>
        <w:top w:val="none" w:sz="0" w:space="0" w:color="auto"/>
        <w:left w:val="none" w:sz="0" w:space="0" w:color="auto"/>
        <w:bottom w:val="none" w:sz="0" w:space="0" w:color="auto"/>
        <w:right w:val="none" w:sz="0" w:space="0" w:color="auto"/>
      </w:divBdr>
    </w:div>
    <w:div w:id="1201473221">
      <w:bodyDiv w:val="1"/>
      <w:marLeft w:val="0"/>
      <w:marRight w:val="0"/>
      <w:marTop w:val="0"/>
      <w:marBottom w:val="0"/>
      <w:divBdr>
        <w:top w:val="none" w:sz="0" w:space="0" w:color="auto"/>
        <w:left w:val="none" w:sz="0" w:space="0" w:color="auto"/>
        <w:bottom w:val="none" w:sz="0" w:space="0" w:color="auto"/>
        <w:right w:val="none" w:sz="0" w:space="0" w:color="auto"/>
      </w:divBdr>
    </w:div>
    <w:div w:id="1206409887">
      <w:bodyDiv w:val="1"/>
      <w:marLeft w:val="0"/>
      <w:marRight w:val="0"/>
      <w:marTop w:val="0"/>
      <w:marBottom w:val="0"/>
      <w:divBdr>
        <w:top w:val="none" w:sz="0" w:space="0" w:color="auto"/>
        <w:left w:val="none" w:sz="0" w:space="0" w:color="auto"/>
        <w:bottom w:val="none" w:sz="0" w:space="0" w:color="auto"/>
        <w:right w:val="none" w:sz="0" w:space="0" w:color="auto"/>
      </w:divBdr>
    </w:div>
    <w:div w:id="1294678300">
      <w:bodyDiv w:val="1"/>
      <w:marLeft w:val="0"/>
      <w:marRight w:val="0"/>
      <w:marTop w:val="0"/>
      <w:marBottom w:val="0"/>
      <w:divBdr>
        <w:top w:val="none" w:sz="0" w:space="0" w:color="auto"/>
        <w:left w:val="none" w:sz="0" w:space="0" w:color="auto"/>
        <w:bottom w:val="none" w:sz="0" w:space="0" w:color="auto"/>
        <w:right w:val="none" w:sz="0" w:space="0" w:color="auto"/>
      </w:divBdr>
    </w:div>
    <w:div w:id="1308586583">
      <w:bodyDiv w:val="1"/>
      <w:marLeft w:val="0"/>
      <w:marRight w:val="0"/>
      <w:marTop w:val="0"/>
      <w:marBottom w:val="0"/>
      <w:divBdr>
        <w:top w:val="none" w:sz="0" w:space="0" w:color="auto"/>
        <w:left w:val="none" w:sz="0" w:space="0" w:color="auto"/>
        <w:bottom w:val="none" w:sz="0" w:space="0" w:color="auto"/>
        <w:right w:val="none" w:sz="0" w:space="0" w:color="auto"/>
      </w:divBdr>
    </w:div>
    <w:div w:id="1310475535">
      <w:bodyDiv w:val="1"/>
      <w:marLeft w:val="0"/>
      <w:marRight w:val="0"/>
      <w:marTop w:val="0"/>
      <w:marBottom w:val="0"/>
      <w:divBdr>
        <w:top w:val="none" w:sz="0" w:space="0" w:color="auto"/>
        <w:left w:val="none" w:sz="0" w:space="0" w:color="auto"/>
        <w:bottom w:val="none" w:sz="0" w:space="0" w:color="auto"/>
        <w:right w:val="none" w:sz="0" w:space="0" w:color="auto"/>
      </w:divBdr>
    </w:div>
    <w:div w:id="1314140602">
      <w:bodyDiv w:val="1"/>
      <w:marLeft w:val="0"/>
      <w:marRight w:val="0"/>
      <w:marTop w:val="0"/>
      <w:marBottom w:val="0"/>
      <w:divBdr>
        <w:top w:val="none" w:sz="0" w:space="0" w:color="auto"/>
        <w:left w:val="none" w:sz="0" w:space="0" w:color="auto"/>
        <w:bottom w:val="none" w:sz="0" w:space="0" w:color="auto"/>
        <w:right w:val="none" w:sz="0" w:space="0" w:color="auto"/>
      </w:divBdr>
    </w:div>
    <w:div w:id="1322537409">
      <w:bodyDiv w:val="1"/>
      <w:marLeft w:val="0"/>
      <w:marRight w:val="0"/>
      <w:marTop w:val="0"/>
      <w:marBottom w:val="0"/>
      <w:divBdr>
        <w:top w:val="none" w:sz="0" w:space="0" w:color="auto"/>
        <w:left w:val="none" w:sz="0" w:space="0" w:color="auto"/>
        <w:bottom w:val="none" w:sz="0" w:space="0" w:color="auto"/>
        <w:right w:val="none" w:sz="0" w:space="0" w:color="auto"/>
      </w:divBdr>
    </w:div>
    <w:div w:id="1351300316">
      <w:bodyDiv w:val="1"/>
      <w:marLeft w:val="0"/>
      <w:marRight w:val="0"/>
      <w:marTop w:val="0"/>
      <w:marBottom w:val="0"/>
      <w:divBdr>
        <w:top w:val="none" w:sz="0" w:space="0" w:color="auto"/>
        <w:left w:val="none" w:sz="0" w:space="0" w:color="auto"/>
        <w:bottom w:val="none" w:sz="0" w:space="0" w:color="auto"/>
        <w:right w:val="none" w:sz="0" w:space="0" w:color="auto"/>
      </w:divBdr>
    </w:div>
    <w:div w:id="1365061323">
      <w:bodyDiv w:val="1"/>
      <w:marLeft w:val="0"/>
      <w:marRight w:val="0"/>
      <w:marTop w:val="0"/>
      <w:marBottom w:val="0"/>
      <w:divBdr>
        <w:top w:val="none" w:sz="0" w:space="0" w:color="auto"/>
        <w:left w:val="none" w:sz="0" w:space="0" w:color="auto"/>
        <w:bottom w:val="none" w:sz="0" w:space="0" w:color="auto"/>
        <w:right w:val="none" w:sz="0" w:space="0" w:color="auto"/>
      </w:divBdr>
    </w:div>
    <w:div w:id="1371805856">
      <w:bodyDiv w:val="1"/>
      <w:marLeft w:val="0"/>
      <w:marRight w:val="0"/>
      <w:marTop w:val="0"/>
      <w:marBottom w:val="0"/>
      <w:divBdr>
        <w:top w:val="none" w:sz="0" w:space="0" w:color="auto"/>
        <w:left w:val="none" w:sz="0" w:space="0" w:color="auto"/>
        <w:bottom w:val="none" w:sz="0" w:space="0" w:color="auto"/>
        <w:right w:val="none" w:sz="0" w:space="0" w:color="auto"/>
      </w:divBdr>
    </w:div>
    <w:div w:id="1377506538">
      <w:bodyDiv w:val="1"/>
      <w:marLeft w:val="0"/>
      <w:marRight w:val="0"/>
      <w:marTop w:val="0"/>
      <w:marBottom w:val="0"/>
      <w:divBdr>
        <w:top w:val="none" w:sz="0" w:space="0" w:color="auto"/>
        <w:left w:val="none" w:sz="0" w:space="0" w:color="auto"/>
        <w:bottom w:val="none" w:sz="0" w:space="0" w:color="auto"/>
        <w:right w:val="none" w:sz="0" w:space="0" w:color="auto"/>
      </w:divBdr>
    </w:div>
    <w:div w:id="1411846901">
      <w:bodyDiv w:val="1"/>
      <w:marLeft w:val="0"/>
      <w:marRight w:val="0"/>
      <w:marTop w:val="0"/>
      <w:marBottom w:val="0"/>
      <w:divBdr>
        <w:top w:val="none" w:sz="0" w:space="0" w:color="auto"/>
        <w:left w:val="none" w:sz="0" w:space="0" w:color="auto"/>
        <w:bottom w:val="none" w:sz="0" w:space="0" w:color="auto"/>
        <w:right w:val="none" w:sz="0" w:space="0" w:color="auto"/>
      </w:divBdr>
    </w:div>
    <w:div w:id="1414469180">
      <w:bodyDiv w:val="1"/>
      <w:marLeft w:val="0"/>
      <w:marRight w:val="0"/>
      <w:marTop w:val="0"/>
      <w:marBottom w:val="0"/>
      <w:divBdr>
        <w:top w:val="none" w:sz="0" w:space="0" w:color="auto"/>
        <w:left w:val="none" w:sz="0" w:space="0" w:color="auto"/>
        <w:bottom w:val="none" w:sz="0" w:space="0" w:color="auto"/>
        <w:right w:val="none" w:sz="0" w:space="0" w:color="auto"/>
      </w:divBdr>
    </w:div>
    <w:div w:id="1429543868">
      <w:bodyDiv w:val="1"/>
      <w:marLeft w:val="0"/>
      <w:marRight w:val="0"/>
      <w:marTop w:val="0"/>
      <w:marBottom w:val="0"/>
      <w:divBdr>
        <w:top w:val="none" w:sz="0" w:space="0" w:color="auto"/>
        <w:left w:val="none" w:sz="0" w:space="0" w:color="auto"/>
        <w:bottom w:val="none" w:sz="0" w:space="0" w:color="auto"/>
        <w:right w:val="none" w:sz="0" w:space="0" w:color="auto"/>
      </w:divBdr>
    </w:div>
    <w:div w:id="1446345582">
      <w:bodyDiv w:val="1"/>
      <w:marLeft w:val="0"/>
      <w:marRight w:val="0"/>
      <w:marTop w:val="0"/>
      <w:marBottom w:val="0"/>
      <w:divBdr>
        <w:top w:val="none" w:sz="0" w:space="0" w:color="auto"/>
        <w:left w:val="none" w:sz="0" w:space="0" w:color="auto"/>
        <w:bottom w:val="none" w:sz="0" w:space="0" w:color="auto"/>
        <w:right w:val="none" w:sz="0" w:space="0" w:color="auto"/>
      </w:divBdr>
    </w:div>
    <w:div w:id="1461026261">
      <w:bodyDiv w:val="1"/>
      <w:marLeft w:val="0"/>
      <w:marRight w:val="0"/>
      <w:marTop w:val="0"/>
      <w:marBottom w:val="0"/>
      <w:divBdr>
        <w:top w:val="none" w:sz="0" w:space="0" w:color="auto"/>
        <w:left w:val="none" w:sz="0" w:space="0" w:color="auto"/>
        <w:bottom w:val="none" w:sz="0" w:space="0" w:color="auto"/>
        <w:right w:val="none" w:sz="0" w:space="0" w:color="auto"/>
      </w:divBdr>
    </w:div>
    <w:div w:id="1474910154">
      <w:bodyDiv w:val="1"/>
      <w:marLeft w:val="0"/>
      <w:marRight w:val="0"/>
      <w:marTop w:val="0"/>
      <w:marBottom w:val="0"/>
      <w:divBdr>
        <w:top w:val="none" w:sz="0" w:space="0" w:color="auto"/>
        <w:left w:val="none" w:sz="0" w:space="0" w:color="auto"/>
        <w:bottom w:val="none" w:sz="0" w:space="0" w:color="auto"/>
        <w:right w:val="none" w:sz="0" w:space="0" w:color="auto"/>
      </w:divBdr>
    </w:div>
    <w:div w:id="1496647157">
      <w:bodyDiv w:val="1"/>
      <w:marLeft w:val="0"/>
      <w:marRight w:val="0"/>
      <w:marTop w:val="0"/>
      <w:marBottom w:val="0"/>
      <w:divBdr>
        <w:top w:val="none" w:sz="0" w:space="0" w:color="auto"/>
        <w:left w:val="none" w:sz="0" w:space="0" w:color="auto"/>
        <w:bottom w:val="none" w:sz="0" w:space="0" w:color="auto"/>
        <w:right w:val="none" w:sz="0" w:space="0" w:color="auto"/>
      </w:divBdr>
    </w:div>
    <w:div w:id="1498301902">
      <w:bodyDiv w:val="1"/>
      <w:marLeft w:val="0"/>
      <w:marRight w:val="0"/>
      <w:marTop w:val="0"/>
      <w:marBottom w:val="0"/>
      <w:divBdr>
        <w:top w:val="none" w:sz="0" w:space="0" w:color="auto"/>
        <w:left w:val="none" w:sz="0" w:space="0" w:color="auto"/>
        <w:bottom w:val="none" w:sz="0" w:space="0" w:color="auto"/>
        <w:right w:val="none" w:sz="0" w:space="0" w:color="auto"/>
      </w:divBdr>
    </w:div>
    <w:div w:id="1500923497">
      <w:bodyDiv w:val="1"/>
      <w:marLeft w:val="0"/>
      <w:marRight w:val="0"/>
      <w:marTop w:val="0"/>
      <w:marBottom w:val="0"/>
      <w:divBdr>
        <w:top w:val="none" w:sz="0" w:space="0" w:color="auto"/>
        <w:left w:val="none" w:sz="0" w:space="0" w:color="auto"/>
        <w:bottom w:val="none" w:sz="0" w:space="0" w:color="auto"/>
        <w:right w:val="none" w:sz="0" w:space="0" w:color="auto"/>
      </w:divBdr>
    </w:div>
    <w:div w:id="1558397984">
      <w:bodyDiv w:val="1"/>
      <w:marLeft w:val="0"/>
      <w:marRight w:val="0"/>
      <w:marTop w:val="0"/>
      <w:marBottom w:val="0"/>
      <w:divBdr>
        <w:top w:val="none" w:sz="0" w:space="0" w:color="auto"/>
        <w:left w:val="none" w:sz="0" w:space="0" w:color="auto"/>
        <w:bottom w:val="none" w:sz="0" w:space="0" w:color="auto"/>
        <w:right w:val="none" w:sz="0" w:space="0" w:color="auto"/>
      </w:divBdr>
    </w:div>
    <w:div w:id="1562251665">
      <w:bodyDiv w:val="1"/>
      <w:marLeft w:val="0"/>
      <w:marRight w:val="0"/>
      <w:marTop w:val="0"/>
      <w:marBottom w:val="0"/>
      <w:divBdr>
        <w:top w:val="none" w:sz="0" w:space="0" w:color="auto"/>
        <w:left w:val="none" w:sz="0" w:space="0" w:color="auto"/>
        <w:bottom w:val="none" w:sz="0" w:space="0" w:color="auto"/>
        <w:right w:val="none" w:sz="0" w:space="0" w:color="auto"/>
      </w:divBdr>
    </w:div>
    <w:div w:id="1566187769">
      <w:bodyDiv w:val="1"/>
      <w:marLeft w:val="0"/>
      <w:marRight w:val="0"/>
      <w:marTop w:val="0"/>
      <w:marBottom w:val="0"/>
      <w:divBdr>
        <w:top w:val="none" w:sz="0" w:space="0" w:color="auto"/>
        <w:left w:val="none" w:sz="0" w:space="0" w:color="auto"/>
        <w:bottom w:val="none" w:sz="0" w:space="0" w:color="auto"/>
        <w:right w:val="none" w:sz="0" w:space="0" w:color="auto"/>
      </w:divBdr>
    </w:div>
    <w:div w:id="1589346064">
      <w:bodyDiv w:val="1"/>
      <w:marLeft w:val="0"/>
      <w:marRight w:val="0"/>
      <w:marTop w:val="0"/>
      <w:marBottom w:val="0"/>
      <w:divBdr>
        <w:top w:val="none" w:sz="0" w:space="0" w:color="auto"/>
        <w:left w:val="none" w:sz="0" w:space="0" w:color="auto"/>
        <w:bottom w:val="none" w:sz="0" w:space="0" w:color="auto"/>
        <w:right w:val="none" w:sz="0" w:space="0" w:color="auto"/>
      </w:divBdr>
    </w:div>
    <w:div w:id="1601453699">
      <w:bodyDiv w:val="1"/>
      <w:marLeft w:val="0"/>
      <w:marRight w:val="0"/>
      <w:marTop w:val="0"/>
      <w:marBottom w:val="0"/>
      <w:divBdr>
        <w:top w:val="none" w:sz="0" w:space="0" w:color="auto"/>
        <w:left w:val="none" w:sz="0" w:space="0" w:color="auto"/>
        <w:bottom w:val="none" w:sz="0" w:space="0" w:color="auto"/>
        <w:right w:val="none" w:sz="0" w:space="0" w:color="auto"/>
      </w:divBdr>
    </w:div>
    <w:div w:id="1613510190">
      <w:bodyDiv w:val="1"/>
      <w:marLeft w:val="0"/>
      <w:marRight w:val="0"/>
      <w:marTop w:val="0"/>
      <w:marBottom w:val="0"/>
      <w:divBdr>
        <w:top w:val="none" w:sz="0" w:space="0" w:color="auto"/>
        <w:left w:val="none" w:sz="0" w:space="0" w:color="auto"/>
        <w:bottom w:val="none" w:sz="0" w:space="0" w:color="auto"/>
        <w:right w:val="none" w:sz="0" w:space="0" w:color="auto"/>
      </w:divBdr>
    </w:div>
    <w:div w:id="1630161270">
      <w:bodyDiv w:val="1"/>
      <w:marLeft w:val="0"/>
      <w:marRight w:val="0"/>
      <w:marTop w:val="0"/>
      <w:marBottom w:val="0"/>
      <w:divBdr>
        <w:top w:val="none" w:sz="0" w:space="0" w:color="auto"/>
        <w:left w:val="none" w:sz="0" w:space="0" w:color="auto"/>
        <w:bottom w:val="none" w:sz="0" w:space="0" w:color="auto"/>
        <w:right w:val="none" w:sz="0" w:space="0" w:color="auto"/>
      </w:divBdr>
    </w:div>
    <w:div w:id="1639261701">
      <w:bodyDiv w:val="1"/>
      <w:marLeft w:val="0"/>
      <w:marRight w:val="0"/>
      <w:marTop w:val="0"/>
      <w:marBottom w:val="0"/>
      <w:divBdr>
        <w:top w:val="none" w:sz="0" w:space="0" w:color="auto"/>
        <w:left w:val="none" w:sz="0" w:space="0" w:color="auto"/>
        <w:bottom w:val="none" w:sz="0" w:space="0" w:color="auto"/>
        <w:right w:val="none" w:sz="0" w:space="0" w:color="auto"/>
      </w:divBdr>
    </w:div>
    <w:div w:id="1646814538">
      <w:bodyDiv w:val="1"/>
      <w:marLeft w:val="0"/>
      <w:marRight w:val="0"/>
      <w:marTop w:val="0"/>
      <w:marBottom w:val="0"/>
      <w:divBdr>
        <w:top w:val="none" w:sz="0" w:space="0" w:color="auto"/>
        <w:left w:val="none" w:sz="0" w:space="0" w:color="auto"/>
        <w:bottom w:val="none" w:sz="0" w:space="0" w:color="auto"/>
        <w:right w:val="none" w:sz="0" w:space="0" w:color="auto"/>
      </w:divBdr>
    </w:div>
    <w:div w:id="1699307894">
      <w:bodyDiv w:val="1"/>
      <w:marLeft w:val="0"/>
      <w:marRight w:val="0"/>
      <w:marTop w:val="0"/>
      <w:marBottom w:val="0"/>
      <w:divBdr>
        <w:top w:val="none" w:sz="0" w:space="0" w:color="auto"/>
        <w:left w:val="none" w:sz="0" w:space="0" w:color="auto"/>
        <w:bottom w:val="none" w:sz="0" w:space="0" w:color="auto"/>
        <w:right w:val="none" w:sz="0" w:space="0" w:color="auto"/>
      </w:divBdr>
    </w:div>
    <w:div w:id="1746957283">
      <w:bodyDiv w:val="1"/>
      <w:marLeft w:val="0"/>
      <w:marRight w:val="0"/>
      <w:marTop w:val="0"/>
      <w:marBottom w:val="0"/>
      <w:divBdr>
        <w:top w:val="none" w:sz="0" w:space="0" w:color="auto"/>
        <w:left w:val="none" w:sz="0" w:space="0" w:color="auto"/>
        <w:bottom w:val="none" w:sz="0" w:space="0" w:color="auto"/>
        <w:right w:val="none" w:sz="0" w:space="0" w:color="auto"/>
      </w:divBdr>
    </w:div>
    <w:div w:id="1750737301">
      <w:bodyDiv w:val="1"/>
      <w:marLeft w:val="0"/>
      <w:marRight w:val="0"/>
      <w:marTop w:val="0"/>
      <w:marBottom w:val="0"/>
      <w:divBdr>
        <w:top w:val="none" w:sz="0" w:space="0" w:color="auto"/>
        <w:left w:val="none" w:sz="0" w:space="0" w:color="auto"/>
        <w:bottom w:val="none" w:sz="0" w:space="0" w:color="auto"/>
        <w:right w:val="none" w:sz="0" w:space="0" w:color="auto"/>
      </w:divBdr>
    </w:div>
    <w:div w:id="1756169208">
      <w:bodyDiv w:val="1"/>
      <w:marLeft w:val="0"/>
      <w:marRight w:val="0"/>
      <w:marTop w:val="0"/>
      <w:marBottom w:val="0"/>
      <w:divBdr>
        <w:top w:val="none" w:sz="0" w:space="0" w:color="auto"/>
        <w:left w:val="none" w:sz="0" w:space="0" w:color="auto"/>
        <w:bottom w:val="none" w:sz="0" w:space="0" w:color="auto"/>
        <w:right w:val="none" w:sz="0" w:space="0" w:color="auto"/>
      </w:divBdr>
    </w:div>
    <w:div w:id="1793741379">
      <w:bodyDiv w:val="1"/>
      <w:marLeft w:val="0"/>
      <w:marRight w:val="0"/>
      <w:marTop w:val="0"/>
      <w:marBottom w:val="0"/>
      <w:divBdr>
        <w:top w:val="none" w:sz="0" w:space="0" w:color="auto"/>
        <w:left w:val="none" w:sz="0" w:space="0" w:color="auto"/>
        <w:bottom w:val="none" w:sz="0" w:space="0" w:color="auto"/>
        <w:right w:val="none" w:sz="0" w:space="0" w:color="auto"/>
      </w:divBdr>
    </w:div>
    <w:div w:id="1797286025">
      <w:bodyDiv w:val="1"/>
      <w:marLeft w:val="0"/>
      <w:marRight w:val="0"/>
      <w:marTop w:val="0"/>
      <w:marBottom w:val="0"/>
      <w:divBdr>
        <w:top w:val="none" w:sz="0" w:space="0" w:color="auto"/>
        <w:left w:val="none" w:sz="0" w:space="0" w:color="auto"/>
        <w:bottom w:val="none" w:sz="0" w:space="0" w:color="auto"/>
        <w:right w:val="none" w:sz="0" w:space="0" w:color="auto"/>
      </w:divBdr>
    </w:div>
    <w:div w:id="1810245289">
      <w:bodyDiv w:val="1"/>
      <w:marLeft w:val="0"/>
      <w:marRight w:val="0"/>
      <w:marTop w:val="0"/>
      <w:marBottom w:val="0"/>
      <w:divBdr>
        <w:top w:val="none" w:sz="0" w:space="0" w:color="auto"/>
        <w:left w:val="none" w:sz="0" w:space="0" w:color="auto"/>
        <w:bottom w:val="none" w:sz="0" w:space="0" w:color="auto"/>
        <w:right w:val="none" w:sz="0" w:space="0" w:color="auto"/>
      </w:divBdr>
    </w:div>
    <w:div w:id="1850606859">
      <w:bodyDiv w:val="1"/>
      <w:marLeft w:val="0"/>
      <w:marRight w:val="0"/>
      <w:marTop w:val="0"/>
      <w:marBottom w:val="0"/>
      <w:divBdr>
        <w:top w:val="none" w:sz="0" w:space="0" w:color="auto"/>
        <w:left w:val="none" w:sz="0" w:space="0" w:color="auto"/>
        <w:bottom w:val="none" w:sz="0" w:space="0" w:color="auto"/>
        <w:right w:val="none" w:sz="0" w:space="0" w:color="auto"/>
      </w:divBdr>
    </w:div>
    <w:div w:id="1865945235">
      <w:bodyDiv w:val="1"/>
      <w:marLeft w:val="0"/>
      <w:marRight w:val="0"/>
      <w:marTop w:val="0"/>
      <w:marBottom w:val="0"/>
      <w:divBdr>
        <w:top w:val="none" w:sz="0" w:space="0" w:color="auto"/>
        <w:left w:val="none" w:sz="0" w:space="0" w:color="auto"/>
        <w:bottom w:val="none" w:sz="0" w:space="0" w:color="auto"/>
        <w:right w:val="none" w:sz="0" w:space="0" w:color="auto"/>
      </w:divBdr>
    </w:div>
    <w:div w:id="1869414654">
      <w:bodyDiv w:val="1"/>
      <w:marLeft w:val="0"/>
      <w:marRight w:val="0"/>
      <w:marTop w:val="0"/>
      <w:marBottom w:val="0"/>
      <w:divBdr>
        <w:top w:val="none" w:sz="0" w:space="0" w:color="auto"/>
        <w:left w:val="none" w:sz="0" w:space="0" w:color="auto"/>
        <w:bottom w:val="none" w:sz="0" w:space="0" w:color="auto"/>
        <w:right w:val="none" w:sz="0" w:space="0" w:color="auto"/>
      </w:divBdr>
    </w:div>
    <w:div w:id="1871382661">
      <w:bodyDiv w:val="1"/>
      <w:marLeft w:val="0"/>
      <w:marRight w:val="0"/>
      <w:marTop w:val="0"/>
      <w:marBottom w:val="0"/>
      <w:divBdr>
        <w:top w:val="none" w:sz="0" w:space="0" w:color="auto"/>
        <w:left w:val="none" w:sz="0" w:space="0" w:color="auto"/>
        <w:bottom w:val="none" w:sz="0" w:space="0" w:color="auto"/>
        <w:right w:val="none" w:sz="0" w:space="0" w:color="auto"/>
      </w:divBdr>
    </w:div>
    <w:div w:id="1876381126">
      <w:bodyDiv w:val="1"/>
      <w:marLeft w:val="0"/>
      <w:marRight w:val="0"/>
      <w:marTop w:val="0"/>
      <w:marBottom w:val="0"/>
      <w:divBdr>
        <w:top w:val="none" w:sz="0" w:space="0" w:color="auto"/>
        <w:left w:val="none" w:sz="0" w:space="0" w:color="auto"/>
        <w:bottom w:val="none" w:sz="0" w:space="0" w:color="auto"/>
        <w:right w:val="none" w:sz="0" w:space="0" w:color="auto"/>
      </w:divBdr>
    </w:div>
    <w:div w:id="1884902432">
      <w:bodyDiv w:val="1"/>
      <w:marLeft w:val="0"/>
      <w:marRight w:val="0"/>
      <w:marTop w:val="0"/>
      <w:marBottom w:val="0"/>
      <w:divBdr>
        <w:top w:val="none" w:sz="0" w:space="0" w:color="auto"/>
        <w:left w:val="none" w:sz="0" w:space="0" w:color="auto"/>
        <w:bottom w:val="none" w:sz="0" w:space="0" w:color="auto"/>
        <w:right w:val="none" w:sz="0" w:space="0" w:color="auto"/>
      </w:divBdr>
    </w:div>
    <w:div w:id="1886018303">
      <w:bodyDiv w:val="1"/>
      <w:marLeft w:val="0"/>
      <w:marRight w:val="0"/>
      <w:marTop w:val="0"/>
      <w:marBottom w:val="0"/>
      <w:divBdr>
        <w:top w:val="none" w:sz="0" w:space="0" w:color="auto"/>
        <w:left w:val="none" w:sz="0" w:space="0" w:color="auto"/>
        <w:bottom w:val="none" w:sz="0" w:space="0" w:color="auto"/>
        <w:right w:val="none" w:sz="0" w:space="0" w:color="auto"/>
      </w:divBdr>
    </w:div>
    <w:div w:id="1888030827">
      <w:bodyDiv w:val="1"/>
      <w:marLeft w:val="0"/>
      <w:marRight w:val="0"/>
      <w:marTop w:val="0"/>
      <w:marBottom w:val="0"/>
      <w:divBdr>
        <w:top w:val="none" w:sz="0" w:space="0" w:color="auto"/>
        <w:left w:val="none" w:sz="0" w:space="0" w:color="auto"/>
        <w:bottom w:val="none" w:sz="0" w:space="0" w:color="auto"/>
        <w:right w:val="none" w:sz="0" w:space="0" w:color="auto"/>
      </w:divBdr>
    </w:div>
    <w:div w:id="1893540756">
      <w:bodyDiv w:val="1"/>
      <w:marLeft w:val="0"/>
      <w:marRight w:val="0"/>
      <w:marTop w:val="0"/>
      <w:marBottom w:val="0"/>
      <w:divBdr>
        <w:top w:val="none" w:sz="0" w:space="0" w:color="auto"/>
        <w:left w:val="none" w:sz="0" w:space="0" w:color="auto"/>
        <w:bottom w:val="none" w:sz="0" w:space="0" w:color="auto"/>
        <w:right w:val="none" w:sz="0" w:space="0" w:color="auto"/>
      </w:divBdr>
    </w:div>
    <w:div w:id="1899591699">
      <w:bodyDiv w:val="1"/>
      <w:marLeft w:val="0"/>
      <w:marRight w:val="0"/>
      <w:marTop w:val="0"/>
      <w:marBottom w:val="0"/>
      <w:divBdr>
        <w:top w:val="none" w:sz="0" w:space="0" w:color="auto"/>
        <w:left w:val="none" w:sz="0" w:space="0" w:color="auto"/>
        <w:bottom w:val="none" w:sz="0" w:space="0" w:color="auto"/>
        <w:right w:val="none" w:sz="0" w:space="0" w:color="auto"/>
      </w:divBdr>
    </w:div>
    <w:div w:id="1907104562">
      <w:bodyDiv w:val="1"/>
      <w:marLeft w:val="0"/>
      <w:marRight w:val="0"/>
      <w:marTop w:val="0"/>
      <w:marBottom w:val="0"/>
      <w:divBdr>
        <w:top w:val="none" w:sz="0" w:space="0" w:color="auto"/>
        <w:left w:val="none" w:sz="0" w:space="0" w:color="auto"/>
        <w:bottom w:val="none" w:sz="0" w:space="0" w:color="auto"/>
        <w:right w:val="none" w:sz="0" w:space="0" w:color="auto"/>
      </w:divBdr>
    </w:div>
    <w:div w:id="1909270222">
      <w:bodyDiv w:val="1"/>
      <w:marLeft w:val="0"/>
      <w:marRight w:val="0"/>
      <w:marTop w:val="0"/>
      <w:marBottom w:val="0"/>
      <w:divBdr>
        <w:top w:val="none" w:sz="0" w:space="0" w:color="auto"/>
        <w:left w:val="none" w:sz="0" w:space="0" w:color="auto"/>
        <w:bottom w:val="none" w:sz="0" w:space="0" w:color="auto"/>
        <w:right w:val="none" w:sz="0" w:space="0" w:color="auto"/>
      </w:divBdr>
    </w:div>
    <w:div w:id="1909412041">
      <w:bodyDiv w:val="1"/>
      <w:marLeft w:val="0"/>
      <w:marRight w:val="0"/>
      <w:marTop w:val="0"/>
      <w:marBottom w:val="0"/>
      <w:divBdr>
        <w:top w:val="none" w:sz="0" w:space="0" w:color="auto"/>
        <w:left w:val="none" w:sz="0" w:space="0" w:color="auto"/>
        <w:bottom w:val="none" w:sz="0" w:space="0" w:color="auto"/>
        <w:right w:val="none" w:sz="0" w:space="0" w:color="auto"/>
      </w:divBdr>
    </w:div>
    <w:div w:id="1917014202">
      <w:bodyDiv w:val="1"/>
      <w:marLeft w:val="0"/>
      <w:marRight w:val="0"/>
      <w:marTop w:val="0"/>
      <w:marBottom w:val="0"/>
      <w:divBdr>
        <w:top w:val="none" w:sz="0" w:space="0" w:color="auto"/>
        <w:left w:val="none" w:sz="0" w:space="0" w:color="auto"/>
        <w:bottom w:val="none" w:sz="0" w:space="0" w:color="auto"/>
        <w:right w:val="none" w:sz="0" w:space="0" w:color="auto"/>
      </w:divBdr>
    </w:div>
    <w:div w:id="1919173353">
      <w:bodyDiv w:val="1"/>
      <w:marLeft w:val="0"/>
      <w:marRight w:val="0"/>
      <w:marTop w:val="0"/>
      <w:marBottom w:val="0"/>
      <w:divBdr>
        <w:top w:val="none" w:sz="0" w:space="0" w:color="auto"/>
        <w:left w:val="none" w:sz="0" w:space="0" w:color="auto"/>
        <w:bottom w:val="none" w:sz="0" w:space="0" w:color="auto"/>
        <w:right w:val="none" w:sz="0" w:space="0" w:color="auto"/>
      </w:divBdr>
    </w:div>
    <w:div w:id="1928296862">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40135201">
      <w:bodyDiv w:val="1"/>
      <w:marLeft w:val="0"/>
      <w:marRight w:val="0"/>
      <w:marTop w:val="0"/>
      <w:marBottom w:val="0"/>
      <w:divBdr>
        <w:top w:val="none" w:sz="0" w:space="0" w:color="auto"/>
        <w:left w:val="none" w:sz="0" w:space="0" w:color="auto"/>
        <w:bottom w:val="none" w:sz="0" w:space="0" w:color="auto"/>
        <w:right w:val="none" w:sz="0" w:space="0" w:color="auto"/>
      </w:divBdr>
    </w:div>
    <w:div w:id="1941058244">
      <w:bodyDiv w:val="1"/>
      <w:marLeft w:val="0"/>
      <w:marRight w:val="0"/>
      <w:marTop w:val="0"/>
      <w:marBottom w:val="0"/>
      <w:divBdr>
        <w:top w:val="none" w:sz="0" w:space="0" w:color="auto"/>
        <w:left w:val="none" w:sz="0" w:space="0" w:color="auto"/>
        <w:bottom w:val="none" w:sz="0" w:space="0" w:color="auto"/>
        <w:right w:val="none" w:sz="0" w:space="0" w:color="auto"/>
      </w:divBdr>
    </w:div>
    <w:div w:id="1944145697">
      <w:bodyDiv w:val="1"/>
      <w:marLeft w:val="0"/>
      <w:marRight w:val="0"/>
      <w:marTop w:val="0"/>
      <w:marBottom w:val="0"/>
      <w:divBdr>
        <w:top w:val="none" w:sz="0" w:space="0" w:color="auto"/>
        <w:left w:val="none" w:sz="0" w:space="0" w:color="auto"/>
        <w:bottom w:val="none" w:sz="0" w:space="0" w:color="auto"/>
        <w:right w:val="none" w:sz="0" w:space="0" w:color="auto"/>
      </w:divBdr>
    </w:div>
    <w:div w:id="1949698104">
      <w:bodyDiv w:val="1"/>
      <w:marLeft w:val="0"/>
      <w:marRight w:val="0"/>
      <w:marTop w:val="0"/>
      <w:marBottom w:val="0"/>
      <w:divBdr>
        <w:top w:val="none" w:sz="0" w:space="0" w:color="auto"/>
        <w:left w:val="none" w:sz="0" w:space="0" w:color="auto"/>
        <w:bottom w:val="none" w:sz="0" w:space="0" w:color="auto"/>
        <w:right w:val="none" w:sz="0" w:space="0" w:color="auto"/>
      </w:divBdr>
    </w:div>
    <w:div w:id="1951735797">
      <w:bodyDiv w:val="1"/>
      <w:marLeft w:val="0"/>
      <w:marRight w:val="0"/>
      <w:marTop w:val="0"/>
      <w:marBottom w:val="0"/>
      <w:divBdr>
        <w:top w:val="none" w:sz="0" w:space="0" w:color="auto"/>
        <w:left w:val="none" w:sz="0" w:space="0" w:color="auto"/>
        <w:bottom w:val="none" w:sz="0" w:space="0" w:color="auto"/>
        <w:right w:val="none" w:sz="0" w:space="0" w:color="auto"/>
      </w:divBdr>
    </w:div>
    <w:div w:id="1958903390">
      <w:bodyDiv w:val="1"/>
      <w:marLeft w:val="0"/>
      <w:marRight w:val="0"/>
      <w:marTop w:val="0"/>
      <w:marBottom w:val="0"/>
      <w:divBdr>
        <w:top w:val="none" w:sz="0" w:space="0" w:color="auto"/>
        <w:left w:val="none" w:sz="0" w:space="0" w:color="auto"/>
        <w:bottom w:val="none" w:sz="0" w:space="0" w:color="auto"/>
        <w:right w:val="none" w:sz="0" w:space="0" w:color="auto"/>
      </w:divBdr>
    </w:div>
    <w:div w:id="1972786089">
      <w:bodyDiv w:val="1"/>
      <w:marLeft w:val="0"/>
      <w:marRight w:val="0"/>
      <w:marTop w:val="0"/>
      <w:marBottom w:val="0"/>
      <w:divBdr>
        <w:top w:val="none" w:sz="0" w:space="0" w:color="auto"/>
        <w:left w:val="none" w:sz="0" w:space="0" w:color="auto"/>
        <w:bottom w:val="none" w:sz="0" w:space="0" w:color="auto"/>
        <w:right w:val="none" w:sz="0" w:space="0" w:color="auto"/>
      </w:divBdr>
    </w:div>
    <w:div w:id="1978871598">
      <w:bodyDiv w:val="1"/>
      <w:marLeft w:val="0"/>
      <w:marRight w:val="0"/>
      <w:marTop w:val="0"/>
      <w:marBottom w:val="0"/>
      <w:divBdr>
        <w:top w:val="none" w:sz="0" w:space="0" w:color="auto"/>
        <w:left w:val="none" w:sz="0" w:space="0" w:color="auto"/>
        <w:bottom w:val="none" w:sz="0" w:space="0" w:color="auto"/>
        <w:right w:val="none" w:sz="0" w:space="0" w:color="auto"/>
      </w:divBdr>
    </w:div>
    <w:div w:id="1987584152">
      <w:bodyDiv w:val="1"/>
      <w:marLeft w:val="0"/>
      <w:marRight w:val="0"/>
      <w:marTop w:val="0"/>
      <w:marBottom w:val="0"/>
      <w:divBdr>
        <w:top w:val="none" w:sz="0" w:space="0" w:color="auto"/>
        <w:left w:val="none" w:sz="0" w:space="0" w:color="auto"/>
        <w:bottom w:val="none" w:sz="0" w:space="0" w:color="auto"/>
        <w:right w:val="none" w:sz="0" w:space="0" w:color="auto"/>
      </w:divBdr>
    </w:div>
    <w:div w:id="1988121206">
      <w:bodyDiv w:val="1"/>
      <w:marLeft w:val="0"/>
      <w:marRight w:val="0"/>
      <w:marTop w:val="0"/>
      <w:marBottom w:val="0"/>
      <w:divBdr>
        <w:top w:val="none" w:sz="0" w:space="0" w:color="auto"/>
        <w:left w:val="none" w:sz="0" w:space="0" w:color="auto"/>
        <w:bottom w:val="none" w:sz="0" w:space="0" w:color="auto"/>
        <w:right w:val="none" w:sz="0" w:space="0" w:color="auto"/>
      </w:divBdr>
    </w:div>
    <w:div w:id="2018195960">
      <w:bodyDiv w:val="1"/>
      <w:marLeft w:val="0"/>
      <w:marRight w:val="0"/>
      <w:marTop w:val="0"/>
      <w:marBottom w:val="0"/>
      <w:divBdr>
        <w:top w:val="none" w:sz="0" w:space="0" w:color="auto"/>
        <w:left w:val="none" w:sz="0" w:space="0" w:color="auto"/>
        <w:bottom w:val="none" w:sz="0" w:space="0" w:color="auto"/>
        <w:right w:val="none" w:sz="0" w:space="0" w:color="auto"/>
      </w:divBdr>
    </w:div>
    <w:div w:id="2028365707">
      <w:bodyDiv w:val="1"/>
      <w:marLeft w:val="0"/>
      <w:marRight w:val="0"/>
      <w:marTop w:val="0"/>
      <w:marBottom w:val="0"/>
      <w:divBdr>
        <w:top w:val="none" w:sz="0" w:space="0" w:color="auto"/>
        <w:left w:val="none" w:sz="0" w:space="0" w:color="auto"/>
        <w:bottom w:val="none" w:sz="0" w:space="0" w:color="auto"/>
        <w:right w:val="none" w:sz="0" w:space="0" w:color="auto"/>
      </w:divBdr>
    </w:div>
    <w:div w:id="2034651408">
      <w:bodyDiv w:val="1"/>
      <w:marLeft w:val="0"/>
      <w:marRight w:val="0"/>
      <w:marTop w:val="0"/>
      <w:marBottom w:val="0"/>
      <w:divBdr>
        <w:top w:val="none" w:sz="0" w:space="0" w:color="auto"/>
        <w:left w:val="none" w:sz="0" w:space="0" w:color="auto"/>
        <w:bottom w:val="none" w:sz="0" w:space="0" w:color="auto"/>
        <w:right w:val="none" w:sz="0" w:space="0" w:color="auto"/>
      </w:divBdr>
    </w:div>
    <w:div w:id="2053843036">
      <w:bodyDiv w:val="1"/>
      <w:marLeft w:val="0"/>
      <w:marRight w:val="0"/>
      <w:marTop w:val="0"/>
      <w:marBottom w:val="0"/>
      <w:divBdr>
        <w:top w:val="none" w:sz="0" w:space="0" w:color="auto"/>
        <w:left w:val="none" w:sz="0" w:space="0" w:color="auto"/>
        <w:bottom w:val="none" w:sz="0" w:space="0" w:color="auto"/>
        <w:right w:val="none" w:sz="0" w:space="0" w:color="auto"/>
      </w:divBdr>
    </w:div>
    <w:div w:id="2057849803">
      <w:bodyDiv w:val="1"/>
      <w:marLeft w:val="0"/>
      <w:marRight w:val="0"/>
      <w:marTop w:val="0"/>
      <w:marBottom w:val="0"/>
      <w:divBdr>
        <w:top w:val="none" w:sz="0" w:space="0" w:color="auto"/>
        <w:left w:val="none" w:sz="0" w:space="0" w:color="auto"/>
        <w:bottom w:val="none" w:sz="0" w:space="0" w:color="auto"/>
        <w:right w:val="none" w:sz="0" w:space="0" w:color="auto"/>
      </w:divBdr>
    </w:div>
    <w:div w:id="2093119363">
      <w:bodyDiv w:val="1"/>
      <w:marLeft w:val="0"/>
      <w:marRight w:val="0"/>
      <w:marTop w:val="0"/>
      <w:marBottom w:val="0"/>
      <w:divBdr>
        <w:top w:val="none" w:sz="0" w:space="0" w:color="auto"/>
        <w:left w:val="none" w:sz="0" w:space="0" w:color="auto"/>
        <w:bottom w:val="none" w:sz="0" w:space="0" w:color="auto"/>
        <w:right w:val="none" w:sz="0" w:space="0" w:color="auto"/>
      </w:divBdr>
    </w:div>
    <w:div w:id="2113435457">
      <w:bodyDiv w:val="1"/>
      <w:marLeft w:val="0"/>
      <w:marRight w:val="0"/>
      <w:marTop w:val="0"/>
      <w:marBottom w:val="0"/>
      <w:divBdr>
        <w:top w:val="none" w:sz="0" w:space="0" w:color="auto"/>
        <w:left w:val="none" w:sz="0" w:space="0" w:color="auto"/>
        <w:bottom w:val="none" w:sz="0" w:space="0" w:color="auto"/>
        <w:right w:val="none" w:sz="0" w:space="0" w:color="auto"/>
      </w:divBdr>
    </w:div>
    <w:div w:id="2114085974">
      <w:bodyDiv w:val="1"/>
      <w:marLeft w:val="0"/>
      <w:marRight w:val="0"/>
      <w:marTop w:val="0"/>
      <w:marBottom w:val="0"/>
      <w:divBdr>
        <w:top w:val="none" w:sz="0" w:space="0" w:color="auto"/>
        <w:left w:val="none" w:sz="0" w:space="0" w:color="auto"/>
        <w:bottom w:val="none" w:sz="0" w:space="0" w:color="auto"/>
        <w:right w:val="none" w:sz="0" w:space="0" w:color="auto"/>
      </w:divBdr>
    </w:div>
    <w:div w:id="2118596465">
      <w:bodyDiv w:val="1"/>
      <w:marLeft w:val="0"/>
      <w:marRight w:val="0"/>
      <w:marTop w:val="0"/>
      <w:marBottom w:val="0"/>
      <w:divBdr>
        <w:top w:val="none" w:sz="0" w:space="0" w:color="auto"/>
        <w:left w:val="none" w:sz="0" w:space="0" w:color="auto"/>
        <w:bottom w:val="none" w:sz="0" w:space="0" w:color="auto"/>
        <w:right w:val="none" w:sz="0" w:space="0" w:color="auto"/>
      </w:divBdr>
    </w:div>
    <w:div w:id="212441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7C632-5EED-4096-BCFA-84297C3D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3033</Words>
  <Characters>16347</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DRAFT AGENDA ITEM</vt:lpstr>
    </vt:vector>
  </TitlesOfParts>
  <Company>Runnymede Borough Council</Company>
  <LinksUpToDate>false</LinksUpToDate>
  <CharactersWithSpaces>19342</CharactersWithSpaces>
  <SharedDoc>false</SharedDoc>
  <HLinks>
    <vt:vector size="18" baseType="variant">
      <vt:variant>
        <vt:i4>327750</vt:i4>
      </vt:variant>
      <vt:variant>
        <vt:i4>3</vt:i4>
      </vt:variant>
      <vt:variant>
        <vt:i4>0</vt:i4>
      </vt:variant>
      <vt:variant>
        <vt:i4>5</vt:i4>
      </vt:variant>
      <vt:variant>
        <vt:lpwstr>http://www.runnymede.gov.uk/</vt:lpwstr>
      </vt:variant>
      <vt:variant>
        <vt:lpwstr/>
      </vt:variant>
      <vt:variant>
        <vt:i4>3735562</vt:i4>
      </vt:variant>
      <vt:variant>
        <vt:i4>0</vt:i4>
      </vt:variant>
      <vt:variant>
        <vt:i4>0</vt:i4>
      </vt:variant>
      <vt:variant>
        <vt:i4>5</vt:i4>
      </vt:variant>
      <vt:variant>
        <vt:lpwstr>mailto:john.gurmin@runnymede.gov.uk</vt:lpwstr>
      </vt:variant>
      <vt:variant>
        <vt:lpwstr/>
      </vt:variant>
      <vt:variant>
        <vt:i4>7405603</vt:i4>
      </vt:variant>
      <vt:variant>
        <vt:i4>4844</vt:i4>
      </vt:variant>
      <vt:variant>
        <vt:i4>1025</vt:i4>
      </vt:variant>
      <vt:variant>
        <vt:i4>1</vt:i4>
      </vt:variant>
      <vt:variant>
        <vt:lpwstr>http://rbcintranet03/home/staff/communications/Translations/CS_Translation_Text.jpg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ITEM</dc:title>
  <dc:creator>Denise Morley</dc:creator>
  <cp:lastModifiedBy>Paul French</cp:lastModifiedBy>
  <cp:revision>2</cp:revision>
  <cp:lastPrinted>2017-09-08T10:57:00Z</cp:lastPrinted>
  <dcterms:created xsi:type="dcterms:W3CDTF">2018-02-02T13:20:00Z</dcterms:created>
  <dcterms:modified xsi:type="dcterms:W3CDTF">2018-02-02T13:20:00Z</dcterms:modified>
</cp:coreProperties>
</file>