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25" w:rsidRDefault="00866D25" w:rsidP="00B164ED">
      <w:pPr>
        <w:ind w:left="1448" w:right="47" w:hanging="1448"/>
        <w:rPr>
          <w:rFonts w:cs="Arial"/>
          <w:bCs/>
          <w:sz w:val="22"/>
          <w:szCs w:val="22"/>
        </w:rPr>
      </w:pPr>
      <w:bookmarkStart w:id="0" w:name="_GoBack"/>
      <w:bookmarkEnd w:id="0"/>
    </w:p>
    <w:p w:rsidR="00866D25" w:rsidRDefault="005C041A" w:rsidP="00866D25">
      <w:pPr>
        <w:ind w:left="720" w:hanging="720"/>
        <w:rPr>
          <w:rFonts w:cs="Arial"/>
          <w:b/>
          <w:sz w:val="22"/>
          <w:szCs w:val="22"/>
        </w:rPr>
      </w:pPr>
      <w:r w:rsidRPr="005C041A">
        <w:rPr>
          <w:rFonts w:cs="Arial"/>
          <w:sz w:val="22"/>
          <w:szCs w:val="22"/>
        </w:rPr>
        <w:t>13.</w:t>
      </w:r>
      <w:r w:rsidR="00866D25">
        <w:rPr>
          <w:rFonts w:cs="Arial"/>
          <w:b/>
          <w:sz w:val="22"/>
          <w:szCs w:val="22"/>
        </w:rPr>
        <w:tab/>
        <w:t>BUDGET MONITORING REPORT - APRIL 2017 TO SEPTEMBER 2017 (RESOURCES)</w:t>
      </w:r>
    </w:p>
    <w:p w:rsidR="00866D25" w:rsidRDefault="00866D25" w:rsidP="00866D25">
      <w:pPr>
        <w:ind w:left="720" w:hanging="720"/>
        <w:rPr>
          <w:rFonts w:cs="Arial"/>
          <w:b/>
          <w:sz w:val="22"/>
          <w:szCs w:val="22"/>
        </w:rPr>
      </w:pPr>
    </w:p>
    <w:tbl>
      <w:tblPr>
        <w:tblW w:w="0" w:type="auto"/>
        <w:tblInd w:w="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19"/>
      </w:tblGrid>
      <w:tr w:rsidR="00866D25" w:rsidTr="00866D25">
        <w:tc>
          <w:tcPr>
            <w:tcW w:w="8919" w:type="dxa"/>
            <w:tcBorders>
              <w:top w:val="single" w:sz="12" w:space="0" w:color="auto"/>
              <w:left w:val="single" w:sz="12" w:space="0" w:color="auto"/>
              <w:bottom w:val="single" w:sz="12" w:space="0" w:color="auto"/>
              <w:right w:val="single" w:sz="12" w:space="0" w:color="auto"/>
            </w:tcBorders>
          </w:tcPr>
          <w:p w:rsidR="00866D25" w:rsidRDefault="00866D25">
            <w:pPr>
              <w:tabs>
                <w:tab w:val="clear" w:pos="1440"/>
                <w:tab w:val="left" w:pos="1448"/>
              </w:tabs>
              <w:rPr>
                <w:rFonts w:eastAsia="Calibri" w:cs="Arial"/>
                <w:b/>
                <w:sz w:val="22"/>
                <w:szCs w:val="22"/>
              </w:rPr>
            </w:pPr>
            <w:r>
              <w:rPr>
                <w:rFonts w:eastAsia="Calibri" w:cs="Arial"/>
                <w:b/>
                <w:sz w:val="22"/>
                <w:szCs w:val="22"/>
              </w:rPr>
              <w:t>Synopsis of report:</w:t>
            </w:r>
          </w:p>
          <w:p w:rsidR="00866D25" w:rsidRDefault="00866D25">
            <w:pPr>
              <w:tabs>
                <w:tab w:val="clear" w:pos="1440"/>
                <w:tab w:val="left" w:pos="1448"/>
              </w:tabs>
              <w:rPr>
                <w:rFonts w:eastAsia="Calibri" w:cs="Arial"/>
                <w:b/>
                <w:sz w:val="22"/>
                <w:szCs w:val="22"/>
              </w:rPr>
            </w:pPr>
          </w:p>
          <w:p w:rsidR="00866D25" w:rsidRDefault="00866D25">
            <w:pPr>
              <w:rPr>
                <w:rFonts w:eastAsia="Calibri" w:cs="Arial"/>
                <w:b/>
                <w:sz w:val="22"/>
                <w:szCs w:val="22"/>
              </w:rPr>
            </w:pPr>
            <w:r>
              <w:rPr>
                <w:rFonts w:cs="Arial"/>
                <w:b/>
                <w:sz w:val="22"/>
                <w:szCs w:val="22"/>
              </w:rPr>
              <w:t>To report the latest financial projections for the 2017/18 financial year for General Fund, Housing Revenue Account and Capital Programme.</w:t>
            </w:r>
            <w:r>
              <w:rPr>
                <w:rFonts w:eastAsia="Calibri" w:cs="Arial"/>
                <w:b/>
                <w:sz w:val="22"/>
                <w:szCs w:val="22"/>
              </w:rPr>
              <w:t xml:space="preserve"> </w:t>
            </w:r>
          </w:p>
          <w:p w:rsidR="00866D25" w:rsidRDefault="00866D25">
            <w:pPr>
              <w:rPr>
                <w:rFonts w:eastAsia="Calibri" w:cs="Arial"/>
                <w:b/>
                <w:sz w:val="22"/>
                <w:szCs w:val="22"/>
              </w:rPr>
            </w:pPr>
          </w:p>
        </w:tc>
      </w:tr>
    </w:tbl>
    <w:p w:rsidR="00866D25" w:rsidRDefault="00866D25" w:rsidP="00866D25">
      <w:pPr>
        <w:tabs>
          <w:tab w:val="clear" w:pos="1440"/>
          <w:tab w:val="left" w:pos="1448"/>
        </w:tabs>
        <w:ind w:left="1448" w:hanging="1448"/>
        <w:rPr>
          <w:rFonts w:cs="Arial"/>
          <w:b/>
          <w:sz w:val="22"/>
          <w:szCs w:val="22"/>
        </w:rPr>
      </w:pPr>
    </w:p>
    <w:tbl>
      <w:tblPr>
        <w:tblW w:w="0" w:type="auto"/>
        <w:tblInd w:w="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19"/>
      </w:tblGrid>
      <w:tr w:rsidR="00866D25" w:rsidTr="00866D25">
        <w:tc>
          <w:tcPr>
            <w:tcW w:w="8919" w:type="dxa"/>
            <w:tcBorders>
              <w:top w:val="single" w:sz="12" w:space="0" w:color="auto"/>
              <w:left w:val="single" w:sz="12" w:space="0" w:color="auto"/>
              <w:bottom w:val="single" w:sz="12" w:space="0" w:color="auto"/>
              <w:right w:val="single" w:sz="12" w:space="0" w:color="auto"/>
            </w:tcBorders>
          </w:tcPr>
          <w:p w:rsidR="00866D25" w:rsidRDefault="00866D25">
            <w:pPr>
              <w:tabs>
                <w:tab w:val="clear" w:pos="1440"/>
                <w:tab w:val="left" w:pos="1448"/>
              </w:tabs>
              <w:rPr>
                <w:rFonts w:eastAsia="Calibri" w:cs="Arial"/>
                <w:b/>
                <w:sz w:val="22"/>
                <w:szCs w:val="22"/>
              </w:rPr>
            </w:pPr>
            <w:r>
              <w:rPr>
                <w:rFonts w:eastAsia="Calibri" w:cs="Arial"/>
                <w:b/>
                <w:sz w:val="22"/>
                <w:szCs w:val="22"/>
              </w:rPr>
              <w:t>Recommendation:</w:t>
            </w:r>
          </w:p>
          <w:p w:rsidR="00866D25" w:rsidRDefault="00866D25">
            <w:pPr>
              <w:tabs>
                <w:tab w:val="left" w:pos="0"/>
              </w:tabs>
              <w:ind w:left="23" w:hanging="23"/>
              <w:rPr>
                <w:rFonts w:eastAsia="Calibri" w:cs="Arial"/>
                <w:b/>
                <w:sz w:val="22"/>
                <w:szCs w:val="22"/>
              </w:rPr>
            </w:pPr>
          </w:p>
          <w:p w:rsidR="00866D25" w:rsidRDefault="00866D25">
            <w:pPr>
              <w:tabs>
                <w:tab w:val="left" w:pos="0"/>
              </w:tabs>
              <w:rPr>
                <w:rFonts w:eastAsia="Calibri" w:cs="Arial"/>
                <w:b/>
                <w:sz w:val="22"/>
                <w:szCs w:val="22"/>
              </w:rPr>
            </w:pPr>
            <w:r>
              <w:rPr>
                <w:rFonts w:eastAsia="Calibri" w:cs="Arial"/>
                <w:b/>
                <w:sz w:val="22"/>
                <w:szCs w:val="22"/>
              </w:rPr>
              <w:t>For information</w:t>
            </w:r>
          </w:p>
          <w:p w:rsidR="00866D25" w:rsidRDefault="00866D25">
            <w:pPr>
              <w:tabs>
                <w:tab w:val="left" w:pos="0"/>
              </w:tabs>
              <w:ind w:left="23" w:hanging="23"/>
              <w:rPr>
                <w:rFonts w:eastAsia="Calibri" w:cs="Arial"/>
                <w:b/>
                <w:sz w:val="22"/>
                <w:szCs w:val="22"/>
              </w:rPr>
            </w:pPr>
          </w:p>
        </w:tc>
      </w:tr>
    </w:tbl>
    <w:p w:rsidR="00866D25" w:rsidRDefault="00866D25" w:rsidP="00866D25">
      <w:pPr>
        <w:ind w:left="720" w:hanging="720"/>
        <w:rPr>
          <w:rFonts w:cs="Arial"/>
          <w:b/>
          <w:sz w:val="22"/>
          <w:szCs w:val="22"/>
        </w:rPr>
      </w:pPr>
    </w:p>
    <w:p w:rsidR="00866D25" w:rsidRDefault="00866D25" w:rsidP="00866D25">
      <w:pPr>
        <w:ind w:left="720" w:hanging="720"/>
        <w:rPr>
          <w:rFonts w:cs="Arial"/>
          <w:b/>
          <w:sz w:val="22"/>
          <w:szCs w:val="22"/>
        </w:rPr>
      </w:pPr>
      <w:r>
        <w:rPr>
          <w:rFonts w:cs="Arial"/>
          <w:sz w:val="22"/>
          <w:szCs w:val="22"/>
        </w:rPr>
        <w:t>1</w:t>
      </w:r>
      <w:r>
        <w:rPr>
          <w:rFonts w:cs="Arial"/>
          <w:sz w:val="22"/>
          <w:szCs w:val="22"/>
        </w:rPr>
        <w:tab/>
      </w:r>
      <w:r>
        <w:rPr>
          <w:rFonts w:cs="Arial"/>
          <w:b/>
          <w:sz w:val="22"/>
          <w:szCs w:val="22"/>
        </w:rPr>
        <w:t>Context of report</w:t>
      </w:r>
    </w:p>
    <w:p w:rsidR="00866D25" w:rsidRDefault="00866D25" w:rsidP="00866D25">
      <w:pPr>
        <w:ind w:left="720" w:hanging="720"/>
        <w:rPr>
          <w:rFonts w:cs="Arial"/>
          <w:sz w:val="22"/>
          <w:szCs w:val="22"/>
        </w:rPr>
      </w:pPr>
    </w:p>
    <w:p w:rsidR="00866D25" w:rsidRDefault="00866D25" w:rsidP="00866D25">
      <w:pPr>
        <w:ind w:left="720" w:hanging="720"/>
        <w:jc w:val="both"/>
        <w:rPr>
          <w:rFonts w:cs="Arial"/>
          <w:sz w:val="22"/>
          <w:szCs w:val="22"/>
        </w:rPr>
      </w:pPr>
      <w:r>
        <w:rPr>
          <w:rFonts w:cs="Arial"/>
          <w:sz w:val="22"/>
          <w:szCs w:val="22"/>
        </w:rPr>
        <w:t>1.1</w:t>
      </w:r>
      <w:r>
        <w:rPr>
          <w:rFonts w:cs="Arial"/>
          <w:sz w:val="22"/>
          <w:szCs w:val="22"/>
        </w:rPr>
        <w:tab/>
        <w:t xml:space="preserve">The Medium Term Financial Strategy (MTFS), the Capital Programme and the detailed General Fund budgets for 2017/18 were approved by the Corporate Management Committee on 27 January 2017 and subsequently by Full Council on 9 February 2017.  </w:t>
      </w:r>
    </w:p>
    <w:p w:rsidR="00866D25" w:rsidRDefault="00866D25" w:rsidP="00866D25">
      <w:pPr>
        <w:ind w:left="720" w:hanging="720"/>
        <w:rPr>
          <w:rFonts w:cs="Arial"/>
          <w:sz w:val="22"/>
          <w:szCs w:val="22"/>
        </w:rPr>
      </w:pPr>
    </w:p>
    <w:p w:rsidR="00866D25" w:rsidRDefault="00866D25" w:rsidP="00866D25">
      <w:pPr>
        <w:ind w:left="720" w:hanging="720"/>
        <w:jc w:val="both"/>
        <w:rPr>
          <w:rFonts w:cs="Arial"/>
          <w:sz w:val="22"/>
          <w:szCs w:val="22"/>
        </w:rPr>
      </w:pPr>
      <w:r>
        <w:rPr>
          <w:rFonts w:cs="Arial"/>
          <w:sz w:val="22"/>
          <w:szCs w:val="22"/>
        </w:rPr>
        <w:t>1.2</w:t>
      </w:r>
      <w:r>
        <w:rPr>
          <w:rFonts w:cs="Arial"/>
          <w:sz w:val="22"/>
          <w:szCs w:val="22"/>
        </w:rPr>
        <w:tab/>
        <w:t>The detailed HRA budget for 2017/18 was approved by the Housing Committee on 11 January 2017 and subsequently by Full Council in February 2017.</w:t>
      </w:r>
    </w:p>
    <w:p w:rsidR="00866D25" w:rsidRDefault="00866D25" w:rsidP="00866D25">
      <w:pPr>
        <w:ind w:left="720" w:hanging="720"/>
        <w:rPr>
          <w:rFonts w:cs="Arial"/>
          <w:sz w:val="22"/>
          <w:szCs w:val="22"/>
          <w:highlight w:val="yellow"/>
        </w:rPr>
      </w:pPr>
    </w:p>
    <w:p w:rsidR="00866D25" w:rsidRDefault="00866D25" w:rsidP="00866D25">
      <w:pPr>
        <w:ind w:left="720" w:hanging="720"/>
        <w:jc w:val="both"/>
        <w:rPr>
          <w:rFonts w:cs="Arial"/>
          <w:sz w:val="22"/>
          <w:szCs w:val="22"/>
        </w:rPr>
      </w:pPr>
      <w:r>
        <w:rPr>
          <w:rFonts w:cs="Arial"/>
          <w:sz w:val="22"/>
          <w:szCs w:val="22"/>
        </w:rPr>
        <w:t>1.3</w:t>
      </w:r>
      <w:r>
        <w:rPr>
          <w:rFonts w:cs="Arial"/>
          <w:sz w:val="22"/>
          <w:szCs w:val="22"/>
        </w:rPr>
        <w:tab/>
        <w:t xml:space="preserve">Starting in July, all budget managers are provided with a monthly budgetary control statement showing total budget, profiled budget and spend to date (including commitments). A full salary listing is also provided on an ad-hoc basis to chief officers.  Budget managers are expected to work with the accountancy team to report any variations and projected spend to 31 March.  </w:t>
      </w:r>
    </w:p>
    <w:p w:rsidR="00866D25" w:rsidRDefault="00866D25" w:rsidP="00866D25">
      <w:pPr>
        <w:ind w:left="720" w:hanging="720"/>
        <w:rPr>
          <w:rFonts w:cs="Arial"/>
          <w:sz w:val="22"/>
          <w:szCs w:val="22"/>
        </w:rPr>
      </w:pPr>
      <w:r>
        <w:rPr>
          <w:rFonts w:cs="Arial"/>
          <w:sz w:val="22"/>
          <w:szCs w:val="22"/>
        </w:rPr>
        <w:tab/>
      </w:r>
    </w:p>
    <w:p w:rsidR="00866D25" w:rsidRDefault="00866D25" w:rsidP="00866D25">
      <w:pPr>
        <w:ind w:left="720" w:hanging="720"/>
        <w:rPr>
          <w:rFonts w:cs="Arial"/>
          <w:sz w:val="22"/>
          <w:szCs w:val="22"/>
        </w:rPr>
      </w:pPr>
      <w:r>
        <w:rPr>
          <w:rFonts w:cs="Arial"/>
          <w:sz w:val="22"/>
          <w:szCs w:val="22"/>
        </w:rPr>
        <w:t>1.4</w:t>
      </w:r>
      <w:r>
        <w:rPr>
          <w:rFonts w:cs="Arial"/>
          <w:sz w:val="22"/>
          <w:szCs w:val="22"/>
        </w:rPr>
        <w:tab/>
        <w:t>Budget managers should constantly monitor their budgets and are accountable for their budget and service performance. The projected outturns shown in this report are manager’s best estimates as at 30 September 2017.</w:t>
      </w:r>
    </w:p>
    <w:p w:rsidR="00866D25" w:rsidRDefault="00866D25" w:rsidP="00866D25">
      <w:pPr>
        <w:ind w:left="720" w:hanging="720"/>
        <w:rPr>
          <w:rFonts w:cs="Arial"/>
          <w:b/>
          <w:sz w:val="22"/>
          <w:szCs w:val="22"/>
          <w:highlight w:val="yellow"/>
          <w:u w:val="single"/>
        </w:rPr>
      </w:pPr>
    </w:p>
    <w:p w:rsidR="00866D25" w:rsidRDefault="00866D25" w:rsidP="00866D25">
      <w:pPr>
        <w:ind w:left="720" w:hanging="720"/>
        <w:rPr>
          <w:rFonts w:cs="Arial"/>
          <w:b/>
          <w:sz w:val="22"/>
          <w:szCs w:val="22"/>
        </w:rPr>
      </w:pPr>
      <w:r>
        <w:rPr>
          <w:rFonts w:cs="Arial"/>
          <w:b/>
          <w:sz w:val="22"/>
          <w:szCs w:val="22"/>
        </w:rPr>
        <w:t>2</w:t>
      </w:r>
      <w:r>
        <w:rPr>
          <w:rFonts w:cs="Arial"/>
          <w:b/>
          <w:sz w:val="22"/>
          <w:szCs w:val="22"/>
        </w:rPr>
        <w:tab/>
        <w:t>General Fund Revenue Budget</w:t>
      </w:r>
    </w:p>
    <w:p w:rsidR="00866D25" w:rsidRDefault="00866D25" w:rsidP="00866D25">
      <w:pPr>
        <w:ind w:left="720" w:hanging="720"/>
        <w:rPr>
          <w:rFonts w:cs="Arial"/>
          <w:sz w:val="22"/>
          <w:szCs w:val="22"/>
        </w:rPr>
      </w:pPr>
    </w:p>
    <w:p w:rsidR="00866D25" w:rsidRDefault="00866D25" w:rsidP="00866D25">
      <w:pPr>
        <w:ind w:left="720" w:hanging="720"/>
        <w:rPr>
          <w:rFonts w:cs="Arial"/>
          <w:sz w:val="22"/>
          <w:szCs w:val="22"/>
        </w:rPr>
      </w:pPr>
      <w:r>
        <w:rPr>
          <w:rFonts w:cs="Arial"/>
          <w:sz w:val="22"/>
          <w:szCs w:val="22"/>
        </w:rPr>
        <w:t>2.1</w:t>
      </w:r>
      <w:r>
        <w:rPr>
          <w:rFonts w:cs="Arial"/>
          <w:sz w:val="22"/>
          <w:szCs w:val="22"/>
        </w:rPr>
        <w:tab/>
        <w:t>The detailed General Fund budget for 2017/18 was approved in February 2017 along with the MTFS.  Since then various changes have occurred and a summary of the current projected use of balances for the General Fund can be seen in table 1 below:</w:t>
      </w:r>
    </w:p>
    <w:p w:rsidR="00866D25" w:rsidRDefault="00866D25" w:rsidP="00866D25">
      <w:pPr>
        <w:ind w:left="720" w:hanging="720"/>
        <w:rPr>
          <w:rFonts w:cs="Arial"/>
        </w:rPr>
      </w:pPr>
    </w:p>
    <w:tbl>
      <w:tblPr>
        <w:tblW w:w="9027"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13"/>
        <w:gridCol w:w="1199"/>
        <w:gridCol w:w="1223"/>
        <w:gridCol w:w="2092"/>
      </w:tblGrid>
      <w:tr w:rsidR="00866D25" w:rsidTr="00866D25">
        <w:trPr>
          <w:trHeight w:val="255"/>
        </w:trPr>
        <w:tc>
          <w:tcPr>
            <w:tcW w:w="9027" w:type="dxa"/>
            <w:gridSpan w:val="4"/>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hideMark/>
          </w:tcPr>
          <w:p w:rsidR="00866D25" w:rsidRDefault="00866D25">
            <w:pPr>
              <w:ind w:left="27" w:hanging="27"/>
              <w:jc w:val="center"/>
              <w:rPr>
                <w:rFonts w:cs="Arial"/>
                <w:b/>
                <w:sz w:val="22"/>
                <w:szCs w:val="22"/>
                <w:lang w:eastAsia="en-GB"/>
              </w:rPr>
            </w:pPr>
            <w:r>
              <w:rPr>
                <w:rFonts w:cs="Arial"/>
                <w:b/>
                <w:sz w:val="22"/>
                <w:szCs w:val="22"/>
                <w:lang w:eastAsia="en-GB"/>
              </w:rPr>
              <w:t>Table 1 – Projected use of General Fund balances</w:t>
            </w:r>
          </w:p>
        </w:tc>
      </w:tr>
      <w:tr w:rsidR="00866D25" w:rsidTr="00866D25">
        <w:trPr>
          <w:trHeight w:val="255"/>
        </w:trPr>
        <w:tc>
          <w:tcPr>
            <w:tcW w:w="4513" w:type="dxa"/>
            <w:tcBorders>
              <w:top w:val="dotted" w:sz="4" w:space="0" w:color="auto"/>
              <w:left w:val="dotted" w:sz="4" w:space="0" w:color="auto"/>
              <w:bottom w:val="dotted" w:sz="4" w:space="0" w:color="auto"/>
              <w:right w:val="dotted" w:sz="4" w:space="0" w:color="auto"/>
            </w:tcBorders>
            <w:noWrap/>
            <w:vAlign w:val="bottom"/>
          </w:tcPr>
          <w:p w:rsidR="00866D25" w:rsidRDefault="00866D25">
            <w:pPr>
              <w:tabs>
                <w:tab w:val="left" w:pos="522"/>
              </w:tabs>
              <w:jc w:val="both"/>
              <w:rPr>
                <w:rStyle w:val="endsenrhsennumparatext"/>
                <w:rFonts w:cs="Arial"/>
                <w:b/>
                <w:sz w:val="22"/>
                <w:szCs w:val="22"/>
                <w:lang w:val="en"/>
              </w:rPr>
            </w:pPr>
          </w:p>
        </w:tc>
        <w:tc>
          <w:tcPr>
            <w:tcW w:w="1199"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ind w:left="720" w:hanging="720"/>
              <w:jc w:val="right"/>
              <w:rPr>
                <w:rFonts w:cs="Arial"/>
                <w:b/>
                <w:sz w:val="22"/>
                <w:szCs w:val="22"/>
                <w:lang w:eastAsia="en-GB"/>
              </w:rPr>
            </w:pPr>
            <w:r>
              <w:rPr>
                <w:rFonts w:cs="Arial"/>
                <w:b/>
                <w:sz w:val="22"/>
                <w:szCs w:val="22"/>
                <w:lang w:eastAsia="en-GB"/>
              </w:rPr>
              <w:t>Original</w:t>
            </w:r>
          </w:p>
          <w:p w:rsidR="00866D25" w:rsidRDefault="00866D25">
            <w:pPr>
              <w:ind w:left="720" w:hanging="720"/>
              <w:jc w:val="right"/>
              <w:rPr>
                <w:rFonts w:cs="Arial"/>
                <w:b/>
                <w:sz w:val="22"/>
                <w:szCs w:val="22"/>
                <w:lang w:eastAsia="en-GB"/>
              </w:rPr>
            </w:pPr>
            <w:r>
              <w:rPr>
                <w:rFonts w:cs="Arial"/>
                <w:b/>
                <w:sz w:val="22"/>
                <w:szCs w:val="22"/>
                <w:lang w:eastAsia="en-GB"/>
              </w:rPr>
              <w:t>Budget</w:t>
            </w:r>
          </w:p>
          <w:p w:rsidR="00866D25" w:rsidRDefault="00866D25">
            <w:pPr>
              <w:ind w:left="720" w:hanging="720"/>
              <w:jc w:val="right"/>
              <w:rPr>
                <w:rFonts w:cs="Arial"/>
                <w:b/>
                <w:sz w:val="22"/>
                <w:szCs w:val="22"/>
                <w:lang w:eastAsia="en-GB"/>
              </w:rPr>
            </w:pPr>
            <w:r>
              <w:rPr>
                <w:rFonts w:cs="Arial"/>
                <w:b/>
                <w:sz w:val="22"/>
                <w:szCs w:val="22"/>
                <w:lang w:eastAsia="en-GB"/>
              </w:rPr>
              <w:t>£’000</w:t>
            </w:r>
          </w:p>
        </w:tc>
        <w:tc>
          <w:tcPr>
            <w:tcW w:w="1223" w:type="dxa"/>
            <w:tcBorders>
              <w:top w:val="dotted" w:sz="4" w:space="0" w:color="auto"/>
              <w:left w:val="dotted" w:sz="4" w:space="0" w:color="auto"/>
              <w:bottom w:val="dotted" w:sz="4" w:space="0" w:color="auto"/>
              <w:right w:val="dotted" w:sz="4" w:space="0" w:color="auto"/>
            </w:tcBorders>
            <w:hideMark/>
          </w:tcPr>
          <w:p w:rsidR="00866D25" w:rsidRDefault="00866D25">
            <w:pPr>
              <w:ind w:left="27" w:hanging="27"/>
              <w:jc w:val="right"/>
              <w:rPr>
                <w:rFonts w:cs="Arial"/>
                <w:b/>
                <w:sz w:val="22"/>
                <w:szCs w:val="22"/>
                <w:lang w:eastAsia="en-GB"/>
              </w:rPr>
            </w:pPr>
            <w:r>
              <w:rPr>
                <w:rFonts w:cs="Arial"/>
                <w:b/>
                <w:sz w:val="22"/>
                <w:szCs w:val="22"/>
                <w:lang w:eastAsia="en-GB"/>
              </w:rPr>
              <w:t>Forecast Outturn</w:t>
            </w:r>
          </w:p>
          <w:p w:rsidR="00866D25" w:rsidRDefault="00866D25">
            <w:pPr>
              <w:ind w:left="27" w:hanging="27"/>
              <w:jc w:val="right"/>
              <w:rPr>
                <w:rFonts w:cs="Arial"/>
                <w:b/>
                <w:sz w:val="22"/>
                <w:szCs w:val="22"/>
                <w:lang w:eastAsia="en-GB"/>
              </w:rPr>
            </w:pPr>
            <w:r>
              <w:rPr>
                <w:rFonts w:cs="Arial"/>
                <w:b/>
                <w:sz w:val="22"/>
                <w:szCs w:val="22"/>
                <w:lang w:eastAsia="en-GB"/>
              </w:rPr>
              <w:t>£’000</w:t>
            </w:r>
          </w:p>
        </w:tc>
        <w:tc>
          <w:tcPr>
            <w:tcW w:w="2092" w:type="dxa"/>
            <w:tcBorders>
              <w:top w:val="dotted" w:sz="4" w:space="0" w:color="auto"/>
              <w:left w:val="dotted" w:sz="4" w:space="0" w:color="auto"/>
              <w:bottom w:val="dotted" w:sz="4" w:space="0" w:color="auto"/>
              <w:right w:val="dotted" w:sz="4" w:space="0" w:color="auto"/>
            </w:tcBorders>
            <w:noWrap/>
            <w:vAlign w:val="bottom"/>
          </w:tcPr>
          <w:p w:rsidR="00866D25" w:rsidRDefault="00866D25">
            <w:pPr>
              <w:ind w:left="27" w:hanging="27"/>
              <w:jc w:val="right"/>
              <w:rPr>
                <w:rFonts w:cs="Arial"/>
                <w:b/>
                <w:sz w:val="22"/>
                <w:szCs w:val="22"/>
                <w:lang w:eastAsia="en-GB"/>
              </w:rPr>
            </w:pPr>
          </w:p>
        </w:tc>
      </w:tr>
      <w:tr w:rsidR="00866D25" w:rsidTr="00866D25">
        <w:trPr>
          <w:trHeight w:val="255"/>
        </w:trPr>
        <w:tc>
          <w:tcPr>
            <w:tcW w:w="4513"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rPr>
                <w:rFonts w:cs="Arial"/>
                <w:sz w:val="22"/>
                <w:szCs w:val="22"/>
              </w:rPr>
            </w:pPr>
            <w:r>
              <w:rPr>
                <w:rFonts w:cs="Arial"/>
                <w:sz w:val="22"/>
                <w:szCs w:val="22"/>
              </w:rPr>
              <w:t>Net Expenditure on Services</w:t>
            </w:r>
          </w:p>
        </w:tc>
        <w:tc>
          <w:tcPr>
            <w:tcW w:w="1199"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ind w:left="720" w:hanging="720"/>
              <w:jc w:val="right"/>
              <w:rPr>
                <w:rFonts w:cs="Arial"/>
                <w:sz w:val="22"/>
                <w:szCs w:val="22"/>
                <w:lang w:eastAsia="en-GB"/>
              </w:rPr>
            </w:pPr>
            <w:r>
              <w:rPr>
                <w:rFonts w:cs="Arial"/>
                <w:sz w:val="22"/>
                <w:szCs w:val="22"/>
                <w:lang w:eastAsia="en-GB"/>
              </w:rPr>
              <w:t>3,153</w:t>
            </w:r>
          </w:p>
        </w:tc>
        <w:tc>
          <w:tcPr>
            <w:tcW w:w="1223" w:type="dxa"/>
            <w:tcBorders>
              <w:top w:val="dotted" w:sz="4" w:space="0" w:color="auto"/>
              <w:left w:val="dotted" w:sz="4" w:space="0" w:color="auto"/>
              <w:bottom w:val="dotted" w:sz="4" w:space="0" w:color="auto"/>
              <w:right w:val="dotted" w:sz="4" w:space="0" w:color="auto"/>
            </w:tcBorders>
          </w:tcPr>
          <w:p w:rsidR="00866D25" w:rsidRDefault="00866D25">
            <w:pPr>
              <w:ind w:left="27" w:hanging="27"/>
              <w:jc w:val="right"/>
              <w:rPr>
                <w:rFonts w:cs="Arial"/>
                <w:sz w:val="22"/>
                <w:szCs w:val="22"/>
              </w:rPr>
            </w:pPr>
          </w:p>
          <w:p w:rsidR="00866D25" w:rsidRDefault="00866D25">
            <w:pPr>
              <w:ind w:left="27" w:hanging="27"/>
              <w:jc w:val="right"/>
              <w:rPr>
                <w:rFonts w:cs="Arial"/>
                <w:sz w:val="22"/>
                <w:szCs w:val="22"/>
                <w:highlight w:val="yellow"/>
              </w:rPr>
            </w:pPr>
            <w:r>
              <w:rPr>
                <w:rFonts w:cs="Arial"/>
                <w:sz w:val="22"/>
                <w:szCs w:val="22"/>
              </w:rPr>
              <w:t>5,216</w:t>
            </w:r>
          </w:p>
        </w:tc>
        <w:tc>
          <w:tcPr>
            <w:tcW w:w="2092"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ind w:left="27" w:hanging="27"/>
              <w:rPr>
                <w:rFonts w:cs="Arial"/>
                <w:sz w:val="22"/>
                <w:szCs w:val="22"/>
                <w:highlight w:val="yellow"/>
              </w:rPr>
            </w:pPr>
            <w:r>
              <w:rPr>
                <w:rFonts w:cs="Arial"/>
                <w:sz w:val="22"/>
                <w:szCs w:val="22"/>
              </w:rPr>
              <w:t>Paragraph 2.3 below</w:t>
            </w:r>
          </w:p>
        </w:tc>
      </w:tr>
      <w:tr w:rsidR="00866D25" w:rsidTr="00866D25">
        <w:trPr>
          <w:trHeight w:val="255"/>
        </w:trPr>
        <w:tc>
          <w:tcPr>
            <w:tcW w:w="4513"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rPr>
                <w:rFonts w:cs="Arial"/>
                <w:sz w:val="22"/>
                <w:szCs w:val="22"/>
              </w:rPr>
            </w:pPr>
            <w:r>
              <w:rPr>
                <w:rFonts w:cs="Arial"/>
                <w:sz w:val="22"/>
                <w:szCs w:val="22"/>
              </w:rPr>
              <w:t>Transfers and accounting adjustments</w:t>
            </w:r>
          </w:p>
        </w:tc>
        <w:tc>
          <w:tcPr>
            <w:tcW w:w="1199"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jc w:val="right"/>
              <w:rPr>
                <w:rFonts w:cs="Arial"/>
                <w:sz w:val="22"/>
                <w:szCs w:val="22"/>
                <w:lang w:eastAsia="en-GB"/>
              </w:rPr>
            </w:pPr>
            <w:r>
              <w:rPr>
                <w:rFonts w:cs="Arial"/>
                <w:sz w:val="22"/>
                <w:szCs w:val="22"/>
                <w:lang w:eastAsia="en-GB"/>
              </w:rPr>
              <w:t>(1,871)</w:t>
            </w:r>
          </w:p>
        </w:tc>
        <w:tc>
          <w:tcPr>
            <w:tcW w:w="1223" w:type="dxa"/>
            <w:tcBorders>
              <w:top w:val="dotted" w:sz="4" w:space="0" w:color="auto"/>
              <w:left w:val="dotted" w:sz="4" w:space="0" w:color="auto"/>
              <w:bottom w:val="dotted" w:sz="4" w:space="0" w:color="auto"/>
              <w:right w:val="dotted" w:sz="4" w:space="0" w:color="auto"/>
            </w:tcBorders>
            <w:hideMark/>
          </w:tcPr>
          <w:p w:rsidR="00866D25" w:rsidRDefault="00866D25">
            <w:pPr>
              <w:ind w:left="27" w:hanging="27"/>
              <w:jc w:val="right"/>
              <w:rPr>
                <w:rFonts w:cs="Arial"/>
                <w:sz w:val="22"/>
                <w:szCs w:val="22"/>
              </w:rPr>
            </w:pPr>
            <w:r>
              <w:rPr>
                <w:rFonts w:cs="Arial"/>
                <w:sz w:val="22"/>
                <w:szCs w:val="22"/>
              </w:rPr>
              <w:t>(1,986)</w:t>
            </w:r>
          </w:p>
        </w:tc>
        <w:tc>
          <w:tcPr>
            <w:tcW w:w="2092" w:type="dxa"/>
            <w:tcBorders>
              <w:top w:val="dotted" w:sz="4" w:space="0" w:color="auto"/>
              <w:left w:val="dotted" w:sz="4" w:space="0" w:color="auto"/>
              <w:bottom w:val="dotted" w:sz="4" w:space="0" w:color="auto"/>
              <w:right w:val="dotted" w:sz="4" w:space="0" w:color="auto"/>
            </w:tcBorders>
            <w:noWrap/>
          </w:tcPr>
          <w:p w:rsidR="00866D25" w:rsidRDefault="00866D25">
            <w:pPr>
              <w:rPr>
                <w:rFonts w:cs="Arial"/>
                <w:sz w:val="22"/>
                <w:szCs w:val="22"/>
              </w:rPr>
            </w:pPr>
          </w:p>
        </w:tc>
      </w:tr>
      <w:tr w:rsidR="00866D25" w:rsidTr="00866D25">
        <w:trPr>
          <w:trHeight w:val="255"/>
        </w:trPr>
        <w:tc>
          <w:tcPr>
            <w:tcW w:w="4513"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rPr>
                <w:rFonts w:cs="Arial"/>
                <w:sz w:val="22"/>
                <w:szCs w:val="22"/>
              </w:rPr>
            </w:pPr>
            <w:r>
              <w:rPr>
                <w:rFonts w:cs="Arial"/>
                <w:sz w:val="22"/>
                <w:szCs w:val="22"/>
              </w:rPr>
              <w:t>Treasury and financing</w:t>
            </w:r>
          </w:p>
        </w:tc>
        <w:tc>
          <w:tcPr>
            <w:tcW w:w="1199"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jc w:val="right"/>
              <w:rPr>
                <w:rFonts w:cs="Arial"/>
                <w:sz w:val="22"/>
                <w:szCs w:val="22"/>
                <w:lang w:eastAsia="en-GB"/>
              </w:rPr>
            </w:pPr>
            <w:r>
              <w:rPr>
                <w:rFonts w:cs="Arial"/>
                <w:sz w:val="22"/>
                <w:szCs w:val="22"/>
                <w:lang w:eastAsia="en-GB"/>
              </w:rPr>
              <w:t>8,020</w:t>
            </w:r>
          </w:p>
        </w:tc>
        <w:tc>
          <w:tcPr>
            <w:tcW w:w="1223" w:type="dxa"/>
            <w:tcBorders>
              <w:top w:val="dotted" w:sz="4" w:space="0" w:color="auto"/>
              <w:left w:val="dotted" w:sz="4" w:space="0" w:color="auto"/>
              <w:bottom w:val="dotted" w:sz="4" w:space="0" w:color="auto"/>
              <w:right w:val="dotted" w:sz="4" w:space="0" w:color="auto"/>
            </w:tcBorders>
          </w:tcPr>
          <w:p w:rsidR="00866D25" w:rsidRDefault="00866D25">
            <w:pPr>
              <w:ind w:left="27" w:hanging="27"/>
              <w:jc w:val="right"/>
              <w:rPr>
                <w:rFonts w:cs="Arial"/>
                <w:sz w:val="22"/>
                <w:szCs w:val="22"/>
              </w:rPr>
            </w:pPr>
          </w:p>
          <w:p w:rsidR="00866D25" w:rsidRDefault="00866D25">
            <w:pPr>
              <w:ind w:left="27" w:hanging="27"/>
              <w:jc w:val="right"/>
              <w:rPr>
                <w:rFonts w:cs="Arial"/>
                <w:sz w:val="22"/>
                <w:szCs w:val="22"/>
              </w:rPr>
            </w:pPr>
            <w:r>
              <w:rPr>
                <w:rFonts w:cs="Arial"/>
                <w:sz w:val="22"/>
                <w:szCs w:val="22"/>
              </w:rPr>
              <w:t>7,109</w:t>
            </w:r>
          </w:p>
        </w:tc>
        <w:tc>
          <w:tcPr>
            <w:tcW w:w="2092" w:type="dxa"/>
            <w:tcBorders>
              <w:top w:val="dotted" w:sz="4" w:space="0" w:color="auto"/>
              <w:left w:val="dotted" w:sz="4" w:space="0" w:color="auto"/>
              <w:bottom w:val="dotted" w:sz="4" w:space="0" w:color="auto"/>
              <w:right w:val="dotted" w:sz="4" w:space="0" w:color="auto"/>
            </w:tcBorders>
            <w:noWrap/>
            <w:hideMark/>
          </w:tcPr>
          <w:p w:rsidR="00866D25" w:rsidRDefault="00866D25">
            <w:pPr>
              <w:rPr>
                <w:rFonts w:cs="Arial"/>
                <w:sz w:val="22"/>
                <w:szCs w:val="22"/>
              </w:rPr>
            </w:pPr>
            <w:r>
              <w:rPr>
                <w:rFonts w:cs="Arial"/>
                <w:sz w:val="22"/>
                <w:szCs w:val="22"/>
              </w:rPr>
              <w:t>Paragraph 2.10 below</w:t>
            </w:r>
          </w:p>
        </w:tc>
      </w:tr>
      <w:tr w:rsidR="00866D25" w:rsidTr="00866D25">
        <w:trPr>
          <w:trHeight w:val="255"/>
        </w:trPr>
        <w:tc>
          <w:tcPr>
            <w:tcW w:w="4513"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rPr>
                <w:rFonts w:cs="Arial"/>
                <w:sz w:val="22"/>
                <w:szCs w:val="22"/>
              </w:rPr>
            </w:pPr>
            <w:r>
              <w:rPr>
                <w:rFonts w:cs="Arial"/>
                <w:sz w:val="22"/>
                <w:szCs w:val="22"/>
              </w:rPr>
              <w:t>Government grants</w:t>
            </w:r>
          </w:p>
        </w:tc>
        <w:tc>
          <w:tcPr>
            <w:tcW w:w="1199"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jc w:val="right"/>
              <w:rPr>
                <w:rFonts w:cs="Arial"/>
                <w:sz w:val="22"/>
                <w:szCs w:val="22"/>
                <w:lang w:eastAsia="en-GB"/>
              </w:rPr>
            </w:pPr>
            <w:r>
              <w:rPr>
                <w:rFonts w:cs="Arial"/>
                <w:sz w:val="22"/>
                <w:szCs w:val="22"/>
                <w:lang w:eastAsia="en-GB"/>
              </w:rPr>
              <w:t>(1,601)</w:t>
            </w:r>
          </w:p>
        </w:tc>
        <w:tc>
          <w:tcPr>
            <w:tcW w:w="1223" w:type="dxa"/>
            <w:tcBorders>
              <w:top w:val="dotted" w:sz="4" w:space="0" w:color="auto"/>
              <w:left w:val="dotted" w:sz="4" w:space="0" w:color="auto"/>
              <w:bottom w:val="dotted" w:sz="4" w:space="0" w:color="auto"/>
              <w:right w:val="dotted" w:sz="4" w:space="0" w:color="auto"/>
            </w:tcBorders>
          </w:tcPr>
          <w:p w:rsidR="00866D25" w:rsidRDefault="00866D25">
            <w:pPr>
              <w:ind w:left="27" w:hanging="27"/>
              <w:jc w:val="right"/>
              <w:rPr>
                <w:rFonts w:cs="Arial"/>
                <w:sz w:val="22"/>
                <w:szCs w:val="22"/>
              </w:rPr>
            </w:pPr>
          </w:p>
          <w:p w:rsidR="00866D25" w:rsidRDefault="00866D25">
            <w:pPr>
              <w:ind w:left="27" w:hanging="27"/>
              <w:jc w:val="right"/>
              <w:rPr>
                <w:rFonts w:cs="Arial"/>
                <w:sz w:val="22"/>
                <w:szCs w:val="22"/>
              </w:rPr>
            </w:pPr>
            <w:r>
              <w:rPr>
                <w:rFonts w:cs="Arial"/>
                <w:sz w:val="22"/>
                <w:szCs w:val="22"/>
              </w:rPr>
              <w:t>(1,605)</w:t>
            </w:r>
          </w:p>
        </w:tc>
        <w:tc>
          <w:tcPr>
            <w:tcW w:w="2092" w:type="dxa"/>
            <w:tcBorders>
              <w:top w:val="dotted" w:sz="4" w:space="0" w:color="auto"/>
              <w:left w:val="dotted" w:sz="4" w:space="0" w:color="auto"/>
              <w:bottom w:val="dotted" w:sz="4" w:space="0" w:color="auto"/>
              <w:right w:val="dotted" w:sz="4" w:space="0" w:color="auto"/>
            </w:tcBorders>
            <w:noWrap/>
            <w:hideMark/>
          </w:tcPr>
          <w:p w:rsidR="00866D25" w:rsidRDefault="00866D25">
            <w:pPr>
              <w:rPr>
                <w:rFonts w:cs="Arial"/>
                <w:sz w:val="22"/>
                <w:szCs w:val="22"/>
              </w:rPr>
            </w:pPr>
            <w:r>
              <w:rPr>
                <w:rFonts w:cs="Arial"/>
                <w:sz w:val="22"/>
                <w:szCs w:val="22"/>
              </w:rPr>
              <w:t>Paragraph 2.13 below</w:t>
            </w:r>
          </w:p>
        </w:tc>
      </w:tr>
      <w:tr w:rsidR="00866D25" w:rsidTr="00866D25">
        <w:trPr>
          <w:trHeight w:val="255"/>
        </w:trPr>
        <w:tc>
          <w:tcPr>
            <w:tcW w:w="4513"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rPr>
                <w:rFonts w:cs="Arial"/>
                <w:sz w:val="22"/>
                <w:szCs w:val="22"/>
              </w:rPr>
            </w:pPr>
            <w:r>
              <w:rPr>
                <w:rFonts w:cs="Arial"/>
                <w:sz w:val="22"/>
                <w:szCs w:val="22"/>
              </w:rPr>
              <w:t>Business Rates and Council Tax collection</w:t>
            </w:r>
          </w:p>
        </w:tc>
        <w:tc>
          <w:tcPr>
            <w:tcW w:w="1199" w:type="dxa"/>
            <w:tcBorders>
              <w:top w:val="dotted" w:sz="4" w:space="0" w:color="auto"/>
              <w:left w:val="dotted" w:sz="4" w:space="0" w:color="auto"/>
              <w:bottom w:val="single" w:sz="4" w:space="0" w:color="auto"/>
              <w:right w:val="dotted" w:sz="4" w:space="0" w:color="auto"/>
            </w:tcBorders>
            <w:noWrap/>
            <w:vAlign w:val="bottom"/>
            <w:hideMark/>
          </w:tcPr>
          <w:p w:rsidR="00866D25" w:rsidRDefault="00866D25">
            <w:pPr>
              <w:jc w:val="right"/>
              <w:rPr>
                <w:rFonts w:cs="Arial"/>
                <w:sz w:val="22"/>
                <w:szCs w:val="22"/>
                <w:lang w:eastAsia="en-GB"/>
              </w:rPr>
            </w:pPr>
            <w:r>
              <w:rPr>
                <w:rFonts w:cs="Arial"/>
                <w:sz w:val="22"/>
                <w:szCs w:val="22"/>
                <w:lang w:eastAsia="en-GB"/>
              </w:rPr>
              <w:t>(6,999)</w:t>
            </w:r>
          </w:p>
        </w:tc>
        <w:tc>
          <w:tcPr>
            <w:tcW w:w="1223" w:type="dxa"/>
            <w:tcBorders>
              <w:top w:val="dotted" w:sz="4" w:space="0" w:color="auto"/>
              <w:left w:val="dotted" w:sz="4" w:space="0" w:color="auto"/>
              <w:bottom w:val="single" w:sz="4" w:space="0" w:color="auto"/>
              <w:right w:val="dotted" w:sz="4" w:space="0" w:color="auto"/>
            </w:tcBorders>
          </w:tcPr>
          <w:p w:rsidR="00866D25" w:rsidRDefault="00866D25">
            <w:pPr>
              <w:ind w:left="27" w:hanging="27"/>
              <w:jc w:val="right"/>
              <w:rPr>
                <w:rFonts w:cs="Arial"/>
                <w:sz w:val="22"/>
                <w:szCs w:val="22"/>
              </w:rPr>
            </w:pPr>
          </w:p>
          <w:p w:rsidR="00866D25" w:rsidRDefault="00866D25">
            <w:pPr>
              <w:ind w:left="27" w:hanging="27"/>
              <w:jc w:val="right"/>
              <w:rPr>
                <w:rFonts w:cs="Arial"/>
                <w:sz w:val="22"/>
                <w:szCs w:val="22"/>
              </w:rPr>
            </w:pPr>
            <w:r>
              <w:rPr>
                <w:rFonts w:cs="Arial"/>
                <w:sz w:val="22"/>
                <w:szCs w:val="22"/>
              </w:rPr>
              <w:t>(6,999)</w:t>
            </w:r>
          </w:p>
        </w:tc>
        <w:tc>
          <w:tcPr>
            <w:tcW w:w="2092" w:type="dxa"/>
            <w:tcBorders>
              <w:top w:val="dotted" w:sz="4" w:space="0" w:color="auto"/>
              <w:left w:val="dotted" w:sz="4" w:space="0" w:color="auto"/>
              <w:bottom w:val="dotted" w:sz="4" w:space="0" w:color="auto"/>
              <w:right w:val="dotted" w:sz="4" w:space="0" w:color="auto"/>
            </w:tcBorders>
            <w:noWrap/>
            <w:hideMark/>
          </w:tcPr>
          <w:p w:rsidR="00866D25" w:rsidRDefault="00866D25">
            <w:pPr>
              <w:rPr>
                <w:rFonts w:cs="Arial"/>
                <w:sz w:val="22"/>
                <w:szCs w:val="22"/>
              </w:rPr>
            </w:pPr>
            <w:r>
              <w:rPr>
                <w:rFonts w:cs="Arial"/>
                <w:sz w:val="22"/>
                <w:szCs w:val="22"/>
              </w:rPr>
              <w:t>Paragraph 2.14 below</w:t>
            </w:r>
          </w:p>
        </w:tc>
      </w:tr>
      <w:tr w:rsidR="00866D25" w:rsidTr="00866D25">
        <w:trPr>
          <w:trHeight w:val="255"/>
        </w:trPr>
        <w:tc>
          <w:tcPr>
            <w:tcW w:w="4513"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rPr>
                <w:rFonts w:cs="Arial"/>
                <w:b/>
                <w:sz w:val="22"/>
                <w:szCs w:val="22"/>
              </w:rPr>
            </w:pPr>
            <w:r>
              <w:rPr>
                <w:rFonts w:cs="Arial"/>
                <w:b/>
                <w:sz w:val="22"/>
                <w:szCs w:val="22"/>
              </w:rPr>
              <w:t>Projected use of balances in 2017/18</w:t>
            </w:r>
          </w:p>
        </w:tc>
        <w:tc>
          <w:tcPr>
            <w:tcW w:w="1199" w:type="dxa"/>
            <w:tcBorders>
              <w:top w:val="single" w:sz="4" w:space="0" w:color="auto"/>
              <w:left w:val="dotted" w:sz="4" w:space="0" w:color="auto"/>
              <w:bottom w:val="single" w:sz="4" w:space="0" w:color="auto"/>
              <w:right w:val="dotted" w:sz="4" w:space="0" w:color="auto"/>
            </w:tcBorders>
            <w:noWrap/>
            <w:vAlign w:val="bottom"/>
            <w:hideMark/>
          </w:tcPr>
          <w:p w:rsidR="00866D25" w:rsidRDefault="00866D25">
            <w:pPr>
              <w:ind w:left="720" w:hanging="720"/>
              <w:jc w:val="right"/>
              <w:rPr>
                <w:rFonts w:cs="Arial"/>
                <w:b/>
                <w:sz w:val="22"/>
                <w:szCs w:val="22"/>
                <w:lang w:eastAsia="en-GB"/>
              </w:rPr>
            </w:pPr>
            <w:r>
              <w:rPr>
                <w:rFonts w:cs="Arial"/>
                <w:b/>
                <w:sz w:val="22"/>
                <w:szCs w:val="22"/>
                <w:lang w:eastAsia="en-GB"/>
              </w:rPr>
              <w:t>702</w:t>
            </w:r>
          </w:p>
        </w:tc>
        <w:tc>
          <w:tcPr>
            <w:tcW w:w="1223" w:type="dxa"/>
            <w:tcBorders>
              <w:top w:val="single" w:sz="4" w:space="0" w:color="auto"/>
              <w:left w:val="dotted" w:sz="4" w:space="0" w:color="auto"/>
              <w:bottom w:val="single" w:sz="4" w:space="0" w:color="auto"/>
              <w:right w:val="dotted" w:sz="4" w:space="0" w:color="auto"/>
            </w:tcBorders>
            <w:hideMark/>
          </w:tcPr>
          <w:p w:rsidR="00866D25" w:rsidRDefault="00866D25">
            <w:pPr>
              <w:ind w:left="720" w:hanging="720"/>
              <w:jc w:val="right"/>
              <w:rPr>
                <w:rFonts w:cs="Arial"/>
                <w:b/>
                <w:sz w:val="22"/>
                <w:szCs w:val="22"/>
                <w:lang w:eastAsia="en-GB"/>
              </w:rPr>
            </w:pPr>
            <w:r>
              <w:rPr>
                <w:rFonts w:cs="Arial"/>
                <w:b/>
                <w:sz w:val="22"/>
                <w:szCs w:val="22"/>
                <w:lang w:eastAsia="en-GB"/>
              </w:rPr>
              <w:t>1,735</w:t>
            </w:r>
          </w:p>
        </w:tc>
        <w:tc>
          <w:tcPr>
            <w:tcW w:w="2092" w:type="dxa"/>
            <w:tcBorders>
              <w:top w:val="dotted" w:sz="4" w:space="0" w:color="auto"/>
              <w:left w:val="dotted" w:sz="4" w:space="0" w:color="auto"/>
              <w:bottom w:val="dotted" w:sz="4" w:space="0" w:color="auto"/>
              <w:right w:val="dotted" w:sz="4" w:space="0" w:color="auto"/>
            </w:tcBorders>
            <w:noWrap/>
            <w:vAlign w:val="bottom"/>
          </w:tcPr>
          <w:p w:rsidR="00866D25" w:rsidRDefault="00866D25">
            <w:pPr>
              <w:ind w:left="27" w:hanging="27"/>
              <w:jc w:val="right"/>
              <w:rPr>
                <w:rFonts w:cs="Arial"/>
                <w:sz w:val="22"/>
                <w:szCs w:val="22"/>
                <w:highlight w:val="yellow"/>
                <w:lang w:eastAsia="en-GB"/>
              </w:rPr>
            </w:pPr>
          </w:p>
        </w:tc>
      </w:tr>
    </w:tbl>
    <w:p w:rsidR="00866D25" w:rsidRDefault="00866D25" w:rsidP="00866D25">
      <w:pPr>
        <w:ind w:left="720" w:hanging="720"/>
        <w:rPr>
          <w:rFonts w:cs="Arial"/>
          <w:sz w:val="22"/>
          <w:szCs w:val="22"/>
          <w:highlight w:val="yellow"/>
        </w:rPr>
      </w:pPr>
    </w:p>
    <w:p w:rsidR="00866D25" w:rsidRDefault="00866D25" w:rsidP="00866D25">
      <w:pPr>
        <w:ind w:left="709"/>
        <w:rPr>
          <w:rFonts w:cs="Arial"/>
          <w:sz w:val="22"/>
          <w:szCs w:val="22"/>
        </w:rPr>
      </w:pPr>
      <w:r>
        <w:rPr>
          <w:rFonts w:cs="Arial"/>
          <w:sz w:val="22"/>
          <w:szCs w:val="22"/>
        </w:rPr>
        <w:t>An updated General Fund Summary (in the Budget Book format) setting out these changes is set out at A</w:t>
      </w:r>
      <w:r w:rsidR="00D02D7D">
        <w:rPr>
          <w:rFonts w:cs="Arial"/>
          <w:sz w:val="22"/>
          <w:szCs w:val="22"/>
        </w:rPr>
        <w:t>ppendix ‘F’</w:t>
      </w:r>
      <w:r>
        <w:rPr>
          <w:rFonts w:cs="Arial"/>
          <w:sz w:val="22"/>
          <w:szCs w:val="22"/>
        </w:rPr>
        <w:t xml:space="preserve"> and is explored in more detail in the following paragraphs.   </w:t>
      </w:r>
    </w:p>
    <w:p w:rsidR="00866D25" w:rsidRDefault="00866D25" w:rsidP="00866D25">
      <w:pPr>
        <w:ind w:left="709"/>
        <w:rPr>
          <w:rFonts w:cs="Arial"/>
          <w:sz w:val="22"/>
          <w:szCs w:val="22"/>
        </w:rPr>
      </w:pPr>
      <w:r>
        <w:rPr>
          <w:rFonts w:cs="Arial"/>
          <w:sz w:val="22"/>
          <w:szCs w:val="22"/>
        </w:rPr>
        <w:tab/>
        <w:t xml:space="preserve"> </w:t>
      </w:r>
    </w:p>
    <w:p w:rsidR="00866D25" w:rsidRDefault="00866D25" w:rsidP="00866D25">
      <w:pPr>
        <w:ind w:left="709" w:hanging="709"/>
        <w:rPr>
          <w:rFonts w:cs="Arial"/>
          <w:sz w:val="22"/>
          <w:szCs w:val="22"/>
        </w:rPr>
      </w:pPr>
      <w:r>
        <w:rPr>
          <w:rFonts w:cs="Arial"/>
          <w:sz w:val="22"/>
          <w:szCs w:val="22"/>
        </w:rPr>
        <w:lastRenderedPageBreak/>
        <w:t>2.2</w:t>
      </w:r>
      <w:r>
        <w:rPr>
          <w:rFonts w:cs="Arial"/>
          <w:sz w:val="22"/>
          <w:szCs w:val="22"/>
        </w:rPr>
        <w:tab/>
        <w:t xml:space="preserve">Assuming the predictions for the forecast outturn shown in table 1 materialise at the year end, this will reduce the General Fund working balance by £1.735m taking it from £6.536m at the start of the year to £4.801m at 31 March 2018. </w:t>
      </w:r>
    </w:p>
    <w:p w:rsidR="00866D25" w:rsidRDefault="00866D25" w:rsidP="00866D25">
      <w:pPr>
        <w:ind w:left="709"/>
        <w:rPr>
          <w:rFonts w:cs="Arial"/>
          <w:sz w:val="22"/>
          <w:szCs w:val="22"/>
          <w:highlight w:val="yellow"/>
        </w:rPr>
      </w:pPr>
    </w:p>
    <w:p w:rsidR="00866D25" w:rsidRDefault="00866D25" w:rsidP="00866D25">
      <w:pPr>
        <w:ind w:left="720" w:hanging="720"/>
        <w:rPr>
          <w:rFonts w:cs="Arial"/>
          <w:sz w:val="22"/>
          <w:szCs w:val="22"/>
          <w:u w:val="single"/>
        </w:rPr>
      </w:pPr>
      <w:r>
        <w:rPr>
          <w:rFonts w:cs="Arial"/>
          <w:sz w:val="22"/>
          <w:szCs w:val="22"/>
        </w:rPr>
        <w:tab/>
      </w:r>
      <w:r>
        <w:rPr>
          <w:rFonts w:cs="Arial"/>
          <w:sz w:val="22"/>
          <w:szCs w:val="22"/>
          <w:u w:val="single"/>
        </w:rPr>
        <w:t>Net Expenditure on Services</w:t>
      </w:r>
    </w:p>
    <w:p w:rsidR="00866D25" w:rsidRDefault="00866D25" w:rsidP="00866D25">
      <w:pPr>
        <w:ind w:left="720" w:hanging="720"/>
        <w:rPr>
          <w:rFonts w:cs="Arial"/>
          <w:sz w:val="22"/>
          <w:szCs w:val="22"/>
          <w:u w:val="single"/>
        </w:rPr>
      </w:pPr>
    </w:p>
    <w:p w:rsidR="00866D25" w:rsidRDefault="00866D25" w:rsidP="00866D25">
      <w:pPr>
        <w:pStyle w:val="ListParagraph"/>
        <w:numPr>
          <w:ilvl w:val="1"/>
          <w:numId w:val="30"/>
        </w:numPr>
        <w:spacing w:after="0" w:line="240" w:lineRule="auto"/>
        <w:ind w:left="709" w:hanging="709"/>
        <w:rPr>
          <w:rFonts w:ascii="Arial" w:hAnsi="Arial" w:cs="Arial"/>
        </w:rPr>
      </w:pPr>
      <w:r>
        <w:rPr>
          <w:rFonts w:ascii="Arial" w:hAnsi="Arial" w:cs="Arial"/>
        </w:rPr>
        <w:t xml:space="preserve">The General Fund Summary </w:t>
      </w:r>
      <w:r w:rsidR="00D02D7D">
        <w:rPr>
          <w:rFonts w:ascii="Arial" w:hAnsi="Arial" w:cs="Arial"/>
        </w:rPr>
        <w:t xml:space="preserve">at </w:t>
      </w:r>
      <w:r>
        <w:rPr>
          <w:rFonts w:ascii="Arial" w:hAnsi="Arial" w:cs="Arial"/>
        </w:rPr>
        <w:t>A</w:t>
      </w:r>
      <w:r w:rsidR="00D02D7D">
        <w:rPr>
          <w:rFonts w:ascii="Arial" w:hAnsi="Arial" w:cs="Arial"/>
        </w:rPr>
        <w:t xml:space="preserve">ppendix ‘F’ </w:t>
      </w:r>
      <w:r>
        <w:rPr>
          <w:rFonts w:ascii="Arial" w:hAnsi="Arial" w:cs="Arial"/>
        </w:rPr>
        <w:t>sets out the net expenditure for each service area against the forecast outturn as at 30 September 2017.  The forecast outturn is made up of the original budget amended for any anticipated changes.  A summary of the more significant changes (over £5,000) at the Net Expenditure on Services level is set out in A</w:t>
      </w:r>
      <w:r w:rsidR="00D02D7D">
        <w:rPr>
          <w:rFonts w:ascii="Arial" w:hAnsi="Arial" w:cs="Arial"/>
        </w:rPr>
        <w:t>ppendix ‘G’.</w:t>
      </w:r>
      <w:r>
        <w:rPr>
          <w:rFonts w:ascii="Arial" w:hAnsi="Arial" w:cs="Arial"/>
        </w:rPr>
        <w:t xml:space="preserve">    </w:t>
      </w:r>
    </w:p>
    <w:p w:rsidR="00866D25" w:rsidRDefault="00866D25" w:rsidP="00866D25">
      <w:pPr>
        <w:pStyle w:val="ListParagraph"/>
        <w:ind w:left="709"/>
        <w:rPr>
          <w:rFonts w:ascii="Arial" w:hAnsi="Arial" w:cs="Arial"/>
          <w:highlight w:val="yellow"/>
        </w:rPr>
      </w:pPr>
    </w:p>
    <w:p w:rsidR="00866D25" w:rsidRDefault="00866D25" w:rsidP="00866D25">
      <w:pPr>
        <w:pStyle w:val="ListParagraph"/>
        <w:numPr>
          <w:ilvl w:val="1"/>
          <w:numId w:val="30"/>
        </w:numPr>
        <w:spacing w:after="0" w:line="240" w:lineRule="auto"/>
        <w:ind w:left="709" w:hanging="709"/>
        <w:rPr>
          <w:rFonts w:ascii="Arial" w:hAnsi="Arial" w:cs="Arial"/>
        </w:rPr>
      </w:pPr>
      <w:r>
        <w:rPr>
          <w:rFonts w:ascii="Arial" w:hAnsi="Arial" w:cs="Arial"/>
        </w:rPr>
        <w:t>A</w:t>
      </w:r>
      <w:r w:rsidR="00D02D7D">
        <w:rPr>
          <w:rFonts w:ascii="Arial" w:hAnsi="Arial" w:cs="Arial"/>
        </w:rPr>
        <w:t xml:space="preserve">ppendix ‘G’ </w:t>
      </w:r>
      <w:r>
        <w:rPr>
          <w:rFonts w:ascii="Arial" w:hAnsi="Arial" w:cs="Arial"/>
        </w:rPr>
        <w:t>shows that net expenditure on services is forecast to be £5.216m, an increase of £2.063m on the original budget as seen at A</w:t>
      </w:r>
      <w:r w:rsidR="00D02D7D">
        <w:rPr>
          <w:rFonts w:ascii="Arial" w:hAnsi="Arial" w:cs="Arial"/>
        </w:rPr>
        <w:t xml:space="preserve">ppendix ‘F’.  </w:t>
      </w:r>
      <w:r>
        <w:rPr>
          <w:rFonts w:ascii="Arial" w:hAnsi="Arial" w:cs="Arial"/>
        </w:rPr>
        <w:t>This increase can be broken down as follows:</w:t>
      </w:r>
    </w:p>
    <w:p w:rsidR="00866D25" w:rsidRDefault="00866D25" w:rsidP="00866D25">
      <w:pPr>
        <w:ind w:left="720" w:hanging="720"/>
        <w:rPr>
          <w:rFonts w:cs="Arial"/>
          <w:sz w:val="22"/>
          <w:szCs w:val="22"/>
        </w:rPr>
      </w:pPr>
    </w:p>
    <w:tbl>
      <w:tblPr>
        <w:tblW w:w="8636"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02"/>
        <w:gridCol w:w="1134"/>
      </w:tblGrid>
      <w:tr w:rsidR="00866D25" w:rsidTr="00866D25">
        <w:trPr>
          <w:trHeight w:val="255"/>
        </w:trPr>
        <w:tc>
          <w:tcPr>
            <w:tcW w:w="8636"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hideMark/>
          </w:tcPr>
          <w:p w:rsidR="00866D25" w:rsidRDefault="00866D25">
            <w:pPr>
              <w:jc w:val="center"/>
              <w:rPr>
                <w:rFonts w:cs="Arial"/>
                <w:sz w:val="22"/>
                <w:szCs w:val="22"/>
              </w:rPr>
            </w:pPr>
            <w:r>
              <w:rPr>
                <w:rFonts w:cs="Arial"/>
                <w:b/>
                <w:sz w:val="22"/>
                <w:szCs w:val="22"/>
                <w:lang w:eastAsia="en-GB"/>
              </w:rPr>
              <w:t>Table 2 – Analysis of budget increases</w:t>
            </w: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bottom"/>
          </w:tcPr>
          <w:p w:rsidR="00866D25" w:rsidRDefault="00866D25">
            <w:pPr>
              <w:tabs>
                <w:tab w:val="left" w:pos="522"/>
              </w:tabs>
              <w:ind w:left="162"/>
              <w:rPr>
                <w:rStyle w:val="endsenrhsennumparatext"/>
                <w:rFonts w:cs="Arial"/>
                <w:b/>
                <w:sz w:val="22"/>
                <w:szCs w:val="22"/>
                <w:lang w:val="en"/>
              </w:rPr>
            </w:pPr>
          </w:p>
        </w:tc>
        <w:tc>
          <w:tcPr>
            <w:tcW w:w="1134" w:type="dxa"/>
            <w:tcBorders>
              <w:top w:val="dotted" w:sz="4" w:space="0" w:color="auto"/>
              <w:left w:val="dotted" w:sz="4" w:space="0" w:color="auto"/>
              <w:bottom w:val="dotted" w:sz="4" w:space="0" w:color="auto"/>
              <w:right w:val="dotted" w:sz="4" w:space="0" w:color="auto"/>
            </w:tcBorders>
            <w:noWrap/>
            <w:hideMark/>
          </w:tcPr>
          <w:p w:rsidR="00866D25" w:rsidRDefault="00866D25">
            <w:pPr>
              <w:jc w:val="center"/>
              <w:rPr>
                <w:rFonts w:cs="Arial"/>
                <w:sz w:val="22"/>
                <w:szCs w:val="22"/>
              </w:rPr>
            </w:pPr>
            <w:r>
              <w:rPr>
                <w:rFonts w:cs="Arial"/>
                <w:b/>
                <w:sz w:val="22"/>
                <w:szCs w:val="22"/>
                <w:lang w:eastAsia="en-GB"/>
              </w:rPr>
              <w:t>£’000</w:t>
            </w: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Increased Expenditure:</w:t>
            </w:r>
          </w:p>
        </w:tc>
        <w:tc>
          <w:tcPr>
            <w:tcW w:w="1134" w:type="dxa"/>
            <w:tcBorders>
              <w:top w:val="dotted" w:sz="4" w:space="0" w:color="auto"/>
              <w:left w:val="dotted" w:sz="4" w:space="0" w:color="auto"/>
              <w:bottom w:val="dotted" w:sz="4" w:space="0" w:color="auto"/>
              <w:right w:val="dotted" w:sz="4" w:space="0" w:color="auto"/>
            </w:tcBorders>
            <w:noWrap/>
          </w:tcPr>
          <w:p w:rsidR="00866D25" w:rsidRDefault="00866D25">
            <w:pPr>
              <w:jc w:val="center"/>
              <w:rPr>
                <w:rFonts w:cs="Arial"/>
                <w:sz w:val="22"/>
                <w:szCs w:val="22"/>
                <w:lang w:eastAsia="en-GB"/>
              </w:rPr>
            </w:pP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 xml:space="preserve"> - Approved supplementary estimates</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jc w:val="right"/>
              <w:rPr>
                <w:rFonts w:cs="Arial"/>
                <w:sz w:val="22"/>
                <w:szCs w:val="22"/>
                <w:lang w:eastAsia="en-GB"/>
              </w:rPr>
            </w:pPr>
            <w:r>
              <w:rPr>
                <w:rFonts w:cs="Arial"/>
                <w:sz w:val="22"/>
                <w:szCs w:val="22"/>
                <w:lang w:eastAsia="en-GB"/>
              </w:rPr>
              <w:t>1,430</w:t>
            </w: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 xml:space="preserve"> - Planned underspends carried forward from 2016/17</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jc w:val="right"/>
              <w:rPr>
                <w:rFonts w:cs="Arial"/>
                <w:sz w:val="22"/>
                <w:szCs w:val="22"/>
                <w:lang w:eastAsia="en-GB"/>
              </w:rPr>
            </w:pPr>
            <w:r>
              <w:rPr>
                <w:rFonts w:cs="Arial"/>
                <w:sz w:val="22"/>
                <w:szCs w:val="22"/>
                <w:lang w:eastAsia="en-GB"/>
              </w:rPr>
              <w:t xml:space="preserve">        465</w:t>
            </w: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 xml:space="preserve"> - Other cost pressures</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jc w:val="right"/>
              <w:rPr>
                <w:rFonts w:cs="Arial"/>
                <w:sz w:val="22"/>
                <w:szCs w:val="22"/>
                <w:lang w:eastAsia="en-GB"/>
              </w:rPr>
            </w:pPr>
            <w:r>
              <w:rPr>
                <w:rFonts w:cs="Arial"/>
                <w:sz w:val="22"/>
                <w:szCs w:val="22"/>
                <w:lang w:eastAsia="en-GB"/>
              </w:rPr>
              <w:t>598</w:t>
            </w: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Reduced Expenditure</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jc w:val="right"/>
              <w:rPr>
                <w:rFonts w:cs="Arial"/>
                <w:sz w:val="22"/>
                <w:szCs w:val="22"/>
                <w:lang w:eastAsia="en-GB"/>
              </w:rPr>
            </w:pPr>
            <w:r>
              <w:rPr>
                <w:rFonts w:cs="Arial"/>
                <w:sz w:val="22"/>
                <w:szCs w:val="22"/>
                <w:lang w:eastAsia="en-GB"/>
              </w:rPr>
              <w:t>(690)</w:t>
            </w: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center"/>
          </w:tcPr>
          <w:p w:rsidR="00866D25" w:rsidRDefault="00866D25">
            <w:pPr>
              <w:tabs>
                <w:tab w:val="left" w:pos="522"/>
              </w:tabs>
              <w:ind w:left="162"/>
              <w:rPr>
                <w:rStyle w:val="endsenrhsennumparatext"/>
                <w:rFonts w:cs="Arial"/>
                <w:sz w:val="22"/>
                <w:szCs w:val="22"/>
                <w:lang w:val="en"/>
              </w:rPr>
            </w:pPr>
          </w:p>
        </w:tc>
        <w:tc>
          <w:tcPr>
            <w:tcW w:w="1134" w:type="dxa"/>
            <w:tcBorders>
              <w:top w:val="dotted" w:sz="4" w:space="0" w:color="auto"/>
              <w:left w:val="dotted" w:sz="4" w:space="0" w:color="auto"/>
              <w:bottom w:val="dotted" w:sz="4" w:space="0" w:color="auto"/>
              <w:right w:val="dotted" w:sz="4" w:space="0" w:color="auto"/>
            </w:tcBorders>
            <w:noWrap/>
            <w:vAlign w:val="center"/>
          </w:tcPr>
          <w:p w:rsidR="00866D25" w:rsidRDefault="00866D25">
            <w:pPr>
              <w:jc w:val="right"/>
              <w:rPr>
                <w:rFonts w:cs="Arial"/>
                <w:sz w:val="22"/>
                <w:szCs w:val="22"/>
                <w:lang w:eastAsia="en-GB"/>
              </w:rPr>
            </w:pP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Increased Income</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jc w:val="right"/>
              <w:rPr>
                <w:rFonts w:cs="Arial"/>
                <w:sz w:val="22"/>
                <w:szCs w:val="22"/>
                <w:lang w:eastAsia="en-GB"/>
              </w:rPr>
            </w:pPr>
            <w:r>
              <w:rPr>
                <w:rFonts w:cs="Arial"/>
                <w:sz w:val="22"/>
                <w:szCs w:val="22"/>
                <w:lang w:eastAsia="en-GB"/>
              </w:rPr>
              <w:t>(393)</w:t>
            </w: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Planned underspends carried forward from 2016/17 (Garden village grant)</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jc w:val="right"/>
              <w:rPr>
                <w:rFonts w:cs="Arial"/>
                <w:sz w:val="22"/>
                <w:szCs w:val="22"/>
                <w:lang w:eastAsia="en-GB"/>
              </w:rPr>
            </w:pPr>
            <w:r>
              <w:rPr>
                <w:rFonts w:cs="Arial"/>
                <w:sz w:val="22"/>
                <w:szCs w:val="22"/>
                <w:lang w:eastAsia="en-GB"/>
              </w:rPr>
              <w:t>(229)</w:t>
            </w:r>
          </w:p>
        </w:tc>
      </w:tr>
      <w:tr w:rsidR="00866D25" w:rsidTr="00866D25">
        <w:trPr>
          <w:trHeight w:val="255"/>
        </w:trPr>
        <w:tc>
          <w:tcPr>
            <w:tcW w:w="7502"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Reduced Income</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jc w:val="right"/>
              <w:rPr>
                <w:rFonts w:cs="Arial"/>
                <w:sz w:val="22"/>
                <w:szCs w:val="22"/>
                <w:lang w:eastAsia="en-GB"/>
              </w:rPr>
            </w:pPr>
            <w:r>
              <w:rPr>
                <w:rFonts w:cs="Arial"/>
                <w:sz w:val="22"/>
                <w:szCs w:val="22"/>
                <w:lang w:eastAsia="en-GB"/>
              </w:rPr>
              <w:t>882</w:t>
            </w:r>
          </w:p>
        </w:tc>
      </w:tr>
    </w:tbl>
    <w:p w:rsidR="00866D25" w:rsidRDefault="00866D25" w:rsidP="00866D25">
      <w:pPr>
        <w:pStyle w:val="ListParagraph"/>
        <w:tabs>
          <w:tab w:val="left" w:pos="720"/>
        </w:tabs>
        <w:ind w:left="709"/>
        <w:rPr>
          <w:rFonts w:ascii="Arial" w:hAnsi="Arial" w:cs="Arial"/>
        </w:rPr>
      </w:pPr>
    </w:p>
    <w:p w:rsidR="00866D25" w:rsidRDefault="00866D25" w:rsidP="00866D25">
      <w:pPr>
        <w:pStyle w:val="ListParagraph"/>
        <w:numPr>
          <w:ilvl w:val="1"/>
          <w:numId w:val="31"/>
        </w:numPr>
        <w:tabs>
          <w:tab w:val="left" w:pos="720"/>
        </w:tabs>
        <w:spacing w:after="0" w:line="240" w:lineRule="auto"/>
        <w:ind w:left="709" w:hanging="709"/>
        <w:rPr>
          <w:rFonts w:ascii="Arial" w:hAnsi="Arial" w:cs="Arial"/>
        </w:rPr>
      </w:pPr>
      <w:r>
        <w:rPr>
          <w:rFonts w:ascii="Arial" w:hAnsi="Arial" w:cs="Arial"/>
        </w:rPr>
        <w:tab/>
        <w:t>Employee costs are by far the major cost item in the Council’s overall budget.  This budget is controlled centrally and quarterly salary control reports are distributed to the Corporate Leadership Team for them to monitor their staffing budgets</w:t>
      </w:r>
      <w:r w:rsidR="00D02D7D">
        <w:rPr>
          <w:rFonts w:ascii="Arial" w:hAnsi="Arial" w:cs="Arial"/>
        </w:rPr>
        <w:t>.</w:t>
      </w:r>
    </w:p>
    <w:p w:rsidR="00866D25" w:rsidRDefault="00866D25" w:rsidP="00866D25">
      <w:pPr>
        <w:pStyle w:val="ListParagraph"/>
        <w:tabs>
          <w:tab w:val="left" w:pos="720"/>
        </w:tabs>
        <w:ind w:left="709"/>
        <w:rPr>
          <w:rFonts w:ascii="Arial" w:hAnsi="Arial" w:cs="Arial"/>
        </w:rPr>
      </w:pPr>
    </w:p>
    <w:p w:rsidR="00866D25" w:rsidRDefault="00866D25" w:rsidP="00866D25">
      <w:pPr>
        <w:pStyle w:val="ListParagraph"/>
        <w:numPr>
          <w:ilvl w:val="1"/>
          <w:numId w:val="31"/>
        </w:numPr>
        <w:tabs>
          <w:tab w:val="left" w:pos="720"/>
        </w:tabs>
        <w:spacing w:after="0" w:line="240" w:lineRule="auto"/>
        <w:ind w:left="709" w:hanging="709"/>
        <w:rPr>
          <w:rFonts w:ascii="Arial" w:hAnsi="Arial" w:cs="Arial"/>
        </w:rPr>
      </w:pPr>
      <w:r>
        <w:rPr>
          <w:rFonts w:ascii="Arial" w:hAnsi="Arial" w:cs="Arial"/>
        </w:rPr>
        <w:t xml:space="preserve">The 2017/18 budget included a staff turnover/vacancy savings target of £247,000.  The turnover/vacancy savings target was set against the salary budget for all </w:t>
      </w:r>
      <w:r w:rsidR="00D02D7D">
        <w:rPr>
          <w:rFonts w:ascii="Arial" w:hAnsi="Arial" w:cs="Arial"/>
        </w:rPr>
        <w:t>O</w:t>
      </w:r>
      <w:r>
        <w:rPr>
          <w:rFonts w:ascii="Arial" w:hAnsi="Arial" w:cs="Arial"/>
        </w:rPr>
        <w:t>fficers with the exception of some frontline services where filling vacancies with agency or temporary staff is imperative in order to keep the service running (e.g. refuse collection, street cleansing, day centre transport etc.).  These targets have been built into the Current Budget column in table 3 below, which monitors the current staffing spend against the expected budget spend for the period to date.   This shows that as at the 30 September, the salary budget is now underspent by £7,000</w:t>
      </w:r>
      <w:r w:rsidR="00D02D7D">
        <w:rPr>
          <w:rFonts w:ascii="Arial" w:hAnsi="Arial" w:cs="Arial"/>
        </w:rPr>
        <w:t>.</w:t>
      </w:r>
    </w:p>
    <w:p w:rsidR="00866D25" w:rsidRDefault="00866D25" w:rsidP="00866D25">
      <w:pPr>
        <w:rPr>
          <w:rFonts w:cs="Arial"/>
          <w:sz w:val="22"/>
          <w:szCs w:val="22"/>
        </w:rPr>
      </w:pPr>
    </w:p>
    <w:p w:rsidR="00866D25" w:rsidRDefault="00866D25" w:rsidP="00866D25">
      <w:pPr>
        <w:pStyle w:val="ListParagraph"/>
        <w:numPr>
          <w:ilvl w:val="1"/>
          <w:numId w:val="31"/>
        </w:numPr>
        <w:tabs>
          <w:tab w:val="left" w:pos="720"/>
        </w:tabs>
        <w:spacing w:after="0" w:line="240" w:lineRule="auto"/>
        <w:ind w:left="709" w:hanging="709"/>
        <w:rPr>
          <w:rFonts w:ascii="Arial" w:hAnsi="Arial" w:cs="Arial"/>
        </w:rPr>
      </w:pPr>
    </w:p>
    <w:tbl>
      <w:tblPr>
        <w:tblW w:w="8494"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7"/>
        <w:gridCol w:w="1133"/>
        <w:gridCol w:w="1134"/>
        <w:gridCol w:w="1132"/>
        <w:gridCol w:w="1158"/>
      </w:tblGrid>
      <w:tr w:rsidR="00866D25" w:rsidTr="00866D25">
        <w:trPr>
          <w:trHeight w:val="255"/>
        </w:trPr>
        <w:tc>
          <w:tcPr>
            <w:tcW w:w="8494"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866D25" w:rsidRDefault="00866D25">
            <w:pPr>
              <w:pStyle w:val="ListParagraph"/>
              <w:rPr>
                <w:rFonts w:ascii="Arial" w:hAnsi="Arial" w:cs="Arial"/>
                <w:b/>
                <w:bCs/>
                <w:lang w:eastAsia="en-GB"/>
              </w:rPr>
            </w:pPr>
          </w:p>
          <w:p w:rsidR="00866D25" w:rsidRDefault="00866D25">
            <w:pPr>
              <w:ind w:left="720" w:hanging="720"/>
              <w:jc w:val="center"/>
              <w:rPr>
                <w:rFonts w:cs="Arial"/>
                <w:sz w:val="22"/>
                <w:szCs w:val="22"/>
                <w:lang w:eastAsia="en-GB"/>
              </w:rPr>
            </w:pPr>
            <w:r>
              <w:rPr>
                <w:rFonts w:cs="Arial"/>
                <w:b/>
                <w:bCs/>
                <w:sz w:val="22"/>
                <w:szCs w:val="22"/>
                <w:lang w:eastAsia="en-GB"/>
              </w:rPr>
              <w:t>Table 3 – Current salary budget performance</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tcPr>
          <w:p w:rsidR="00866D25" w:rsidRDefault="00866D25">
            <w:pPr>
              <w:ind w:left="720" w:hanging="720"/>
              <w:rPr>
                <w:rFonts w:cs="Arial"/>
                <w:sz w:val="22"/>
                <w:szCs w:val="22"/>
                <w:lang w:eastAsia="en-GB"/>
              </w:rPr>
            </w:pP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center"/>
              <w:rPr>
                <w:rFonts w:cs="Arial"/>
                <w:b/>
                <w:sz w:val="22"/>
                <w:szCs w:val="22"/>
                <w:lang w:eastAsia="en-GB"/>
              </w:rPr>
            </w:pPr>
            <w:r>
              <w:rPr>
                <w:rFonts w:cs="Arial"/>
                <w:b/>
                <w:sz w:val="22"/>
                <w:szCs w:val="22"/>
                <w:lang w:eastAsia="en-GB"/>
              </w:rPr>
              <w:t>Current</w:t>
            </w:r>
          </w:p>
          <w:p w:rsidR="00866D25" w:rsidRDefault="00866D25">
            <w:pPr>
              <w:ind w:left="720" w:hanging="720"/>
              <w:jc w:val="center"/>
              <w:rPr>
                <w:rFonts w:cs="Arial"/>
                <w:b/>
                <w:sz w:val="22"/>
                <w:szCs w:val="22"/>
                <w:lang w:eastAsia="en-GB"/>
              </w:rPr>
            </w:pPr>
            <w:r>
              <w:rPr>
                <w:rFonts w:cs="Arial"/>
                <w:b/>
                <w:sz w:val="22"/>
                <w:szCs w:val="22"/>
                <w:lang w:eastAsia="en-GB"/>
              </w:rPr>
              <w:t>Budget</w:t>
            </w:r>
          </w:p>
          <w:p w:rsidR="00866D25" w:rsidRDefault="00866D25">
            <w:pPr>
              <w:ind w:left="720" w:hanging="720"/>
              <w:jc w:val="center"/>
              <w:rPr>
                <w:rFonts w:cs="Arial"/>
                <w:b/>
                <w:sz w:val="22"/>
                <w:szCs w:val="22"/>
                <w:lang w:eastAsia="en-GB"/>
              </w:rPr>
            </w:pPr>
            <w:r>
              <w:rPr>
                <w:rFonts w:cs="Arial"/>
                <w:b/>
                <w:sz w:val="22"/>
                <w:szCs w:val="22"/>
                <w:lang w:eastAsia="en-GB"/>
              </w:rPr>
              <w:t>£000</w:t>
            </w:r>
          </w:p>
        </w:tc>
        <w:tc>
          <w:tcPr>
            <w:tcW w:w="1134"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jc w:val="center"/>
              <w:rPr>
                <w:rFonts w:cs="Arial"/>
                <w:b/>
                <w:bCs/>
                <w:sz w:val="22"/>
                <w:szCs w:val="22"/>
                <w:lang w:eastAsia="en-GB"/>
              </w:rPr>
            </w:pPr>
            <w:r>
              <w:rPr>
                <w:rFonts w:cs="Arial"/>
                <w:b/>
                <w:bCs/>
                <w:sz w:val="22"/>
                <w:szCs w:val="22"/>
                <w:lang w:eastAsia="en-GB"/>
              </w:rPr>
              <w:t>Profiled</w:t>
            </w:r>
          </w:p>
          <w:p w:rsidR="00866D25" w:rsidRDefault="00866D25">
            <w:pPr>
              <w:ind w:left="720" w:hanging="720"/>
              <w:jc w:val="center"/>
              <w:rPr>
                <w:rFonts w:cs="Arial"/>
                <w:b/>
                <w:bCs/>
                <w:sz w:val="22"/>
                <w:szCs w:val="22"/>
                <w:lang w:eastAsia="en-GB"/>
              </w:rPr>
            </w:pPr>
            <w:r>
              <w:rPr>
                <w:rFonts w:cs="Arial"/>
                <w:b/>
                <w:bCs/>
                <w:sz w:val="22"/>
                <w:szCs w:val="22"/>
                <w:lang w:eastAsia="en-GB"/>
              </w:rPr>
              <w:t>Budget</w:t>
            </w:r>
          </w:p>
          <w:p w:rsidR="00866D25" w:rsidRDefault="00866D25">
            <w:pPr>
              <w:ind w:left="720" w:hanging="720"/>
              <w:jc w:val="center"/>
              <w:rPr>
                <w:rFonts w:cs="Arial"/>
                <w:b/>
                <w:bCs/>
                <w:sz w:val="22"/>
                <w:szCs w:val="22"/>
                <w:lang w:eastAsia="en-GB"/>
              </w:rPr>
            </w:pPr>
            <w:r>
              <w:rPr>
                <w:rFonts w:cs="Arial"/>
                <w:b/>
                <w:bCs/>
                <w:sz w:val="22"/>
                <w:szCs w:val="22"/>
                <w:lang w:eastAsia="en-GB"/>
              </w:rPr>
              <w:t>£000</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ind w:left="720" w:hanging="720"/>
              <w:jc w:val="center"/>
              <w:rPr>
                <w:rFonts w:cs="Arial"/>
                <w:b/>
                <w:bCs/>
                <w:sz w:val="22"/>
                <w:szCs w:val="22"/>
                <w:lang w:eastAsia="en-GB"/>
              </w:rPr>
            </w:pPr>
            <w:r>
              <w:rPr>
                <w:rFonts w:cs="Arial"/>
                <w:b/>
                <w:bCs/>
                <w:sz w:val="22"/>
                <w:szCs w:val="22"/>
                <w:lang w:eastAsia="en-GB"/>
              </w:rPr>
              <w:t>Actual</w:t>
            </w:r>
          </w:p>
          <w:p w:rsidR="00866D25" w:rsidRDefault="00866D25">
            <w:pPr>
              <w:ind w:left="720" w:hanging="720"/>
              <w:jc w:val="center"/>
              <w:rPr>
                <w:rFonts w:cs="Arial"/>
                <w:b/>
                <w:bCs/>
                <w:sz w:val="22"/>
                <w:szCs w:val="22"/>
                <w:lang w:eastAsia="en-GB"/>
              </w:rPr>
            </w:pPr>
            <w:r>
              <w:rPr>
                <w:rFonts w:cs="Arial"/>
                <w:b/>
                <w:bCs/>
                <w:sz w:val="22"/>
                <w:szCs w:val="22"/>
                <w:lang w:eastAsia="en-GB"/>
              </w:rPr>
              <w:t>to Date</w:t>
            </w:r>
          </w:p>
          <w:p w:rsidR="00866D25" w:rsidRDefault="00866D25">
            <w:pPr>
              <w:ind w:left="720" w:hanging="720"/>
              <w:jc w:val="center"/>
              <w:rPr>
                <w:rFonts w:cs="Arial"/>
                <w:b/>
                <w:bCs/>
                <w:sz w:val="22"/>
                <w:szCs w:val="22"/>
                <w:lang w:eastAsia="en-GB"/>
              </w:rPr>
            </w:pPr>
            <w:r>
              <w:rPr>
                <w:rFonts w:cs="Arial"/>
                <w:b/>
                <w:bCs/>
                <w:sz w:val="22"/>
                <w:szCs w:val="22"/>
                <w:lang w:eastAsia="en-GB"/>
              </w:rPr>
              <w:t>£000</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center"/>
              <w:rPr>
                <w:rFonts w:cs="Arial"/>
                <w:b/>
                <w:bCs/>
                <w:sz w:val="22"/>
                <w:szCs w:val="22"/>
                <w:lang w:eastAsia="en-GB"/>
              </w:rPr>
            </w:pPr>
            <w:r>
              <w:rPr>
                <w:rFonts w:cs="Arial"/>
                <w:b/>
                <w:bCs/>
                <w:sz w:val="22"/>
                <w:szCs w:val="22"/>
                <w:lang w:eastAsia="en-GB"/>
              </w:rPr>
              <w:t>Variation to date</w:t>
            </w:r>
            <w:r>
              <w:rPr>
                <w:rFonts w:cs="Arial"/>
                <w:b/>
                <w:bCs/>
                <w:sz w:val="22"/>
                <w:szCs w:val="22"/>
                <w:lang w:eastAsia="en-GB"/>
              </w:rPr>
              <w:br/>
              <w:t>£’000</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rPr>
                <w:rFonts w:cs="Arial"/>
                <w:sz w:val="22"/>
                <w:szCs w:val="22"/>
                <w:lang w:eastAsia="en-GB"/>
              </w:rPr>
            </w:pPr>
            <w:r>
              <w:rPr>
                <w:rFonts w:cs="Arial"/>
                <w:sz w:val="22"/>
                <w:szCs w:val="22"/>
                <w:lang w:eastAsia="en-GB"/>
              </w:rPr>
              <w:t>Corporate Services</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910</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ind w:left="720" w:hanging="720"/>
              <w:jc w:val="right"/>
              <w:rPr>
                <w:rFonts w:cs="Arial"/>
                <w:sz w:val="22"/>
                <w:szCs w:val="22"/>
                <w:lang w:eastAsia="en-GB"/>
              </w:rPr>
            </w:pPr>
            <w:r>
              <w:rPr>
                <w:rFonts w:cs="Arial"/>
                <w:sz w:val="22"/>
                <w:szCs w:val="22"/>
                <w:lang w:eastAsia="en-GB"/>
              </w:rPr>
              <w:t>450</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475</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25</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rPr>
                <w:rFonts w:cs="Arial"/>
                <w:sz w:val="22"/>
                <w:szCs w:val="22"/>
                <w:lang w:eastAsia="en-GB"/>
              </w:rPr>
            </w:pPr>
            <w:r>
              <w:rPr>
                <w:rFonts w:cs="Arial"/>
                <w:sz w:val="22"/>
                <w:szCs w:val="22"/>
                <w:lang w:eastAsia="en-GB"/>
              </w:rPr>
              <w:t>Law &amp; Governance</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743</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ind w:left="720" w:hanging="720"/>
              <w:jc w:val="right"/>
              <w:rPr>
                <w:rFonts w:cs="Arial"/>
                <w:sz w:val="22"/>
                <w:szCs w:val="22"/>
                <w:lang w:eastAsia="en-GB"/>
              </w:rPr>
            </w:pPr>
            <w:r>
              <w:rPr>
                <w:rFonts w:cs="Arial"/>
                <w:sz w:val="22"/>
                <w:szCs w:val="22"/>
                <w:lang w:eastAsia="en-GB"/>
              </w:rPr>
              <w:t>370</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365</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(5)</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rPr>
                <w:rFonts w:cs="Arial"/>
                <w:sz w:val="22"/>
                <w:szCs w:val="22"/>
                <w:lang w:eastAsia="en-GB"/>
              </w:rPr>
            </w:pPr>
            <w:r>
              <w:rPr>
                <w:rFonts w:cs="Arial"/>
                <w:sz w:val="22"/>
                <w:szCs w:val="22"/>
                <w:lang w:eastAsia="en-GB"/>
              </w:rPr>
              <w:t>Resources – Customer Services</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530</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ind w:left="720" w:hanging="720"/>
              <w:jc w:val="right"/>
              <w:rPr>
                <w:rFonts w:cs="Arial"/>
                <w:sz w:val="22"/>
                <w:szCs w:val="22"/>
                <w:lang w:eastAsia="en-GB"/>
              </w:rPr>
            </w:pPr>
            <w:r>
              <w:rPr>
                <w:rFonts w:cs="Arial"/>
                <w:sz w:val="22"/>
                <w:szCs w:val="22"/>
                <w:lang w:eastAsia="en-GB"/>
              </w:rPr>
              <w:t>256</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281</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25</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rPr>
                <w:rFonts w:cs="Arial"/>
                <w:sz w:val="22"/>
                <w:szCs w:val="22"/>
                <w:lang w:eastAsia="en-GB"/>
              </w:rPr>
            </w:pPr>
            <w:r>
              <w:rPr>
                <w:rFonts w:cs="Arial"/>
                <w:sz w:val="22"/>
                <w:szCs w:val="22"/>
                <w:lang w:eastAsia="en-GB"/>
              </w:rPr>
              <w:t>Resources – Other</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2,092</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ind w:left="720" w:hanging="720"/>
              <w:jc w:val="right"/>
              <w:rPr>
                <w:rFonts w:cs="Arial"/>
                <w:sz w:val="22"/>
                <w:szCs w:val="22"/>
                <w:lang w:eastAsia="en-GB"/>
              </w:rPr>
            </w:pPr>
            <w:r>
              <w:rPr>
                <w:rFonts w:cs="Arial"/>
                <w:sz w:val="22"/>
                <w:szCs w:val="22"/>
                <w:lang w:eastAsia="en-GB"/>
              </w:rPr>
              <w:t>1,062</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1,025</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(37)</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rPr>
                <w:rFonts w:cs="Arial"/>
                <w:sz w:val="22"/>
                <w:szCs w:val="22"/>
                <w:lang w:eastAsia="en-GB"/>
              </w:rPr>
            </w:pPr>
            <w:r>
              <w:rPr>
                <w:rFonts w:cs="Arial"/>
                <w:sz w:val="22"/>
                <w:szCs w:val="22"/>
                <w:lang w:eastAsia="en-GB"/>
              </w:rPr>
              <w:t>Planning</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1,523</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ind w:left="720" w:hanging="720"/>
              <w:jc w:val="right"/>
              <w:rPr>
                <w:rFonts w:cs="Arial"/>
                <w:sz w:val="22"/>
                <w:szCs w:val="22"/>
                <w:lang w:eastAsia="en-GB"/>
              </w:rPr>
            </w:pPr>
            <w:r>
              <w:rPr>
                <w:rFonts w:cs="Arial"/>
                <w:sz w:val="22"/>
                <w:szCs w:val="22"/>
                <w:lang w:eastAsia="en-GB"/>
              </w:rPr>
              <w:t>746</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747</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1</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rPr>
                <w:rFonts w:cs="Arial"/>
                <w:sz w:val="22"/>
                <w:szCs w:val="22"/>
                <w:lang w:eastAsia="en-GB"/>
              </w:rPr>
            </w:pPr>
            <w:r>
              <w:rPr>
                <w:rFonts w:cs="Arial"/>
                <w:sz w:val="22"/>
                <w:szCs w:val="22"/>
                <w:lang w:eastAsia="en-GB"/>
              </w:rPr>
              <w:t>Environmental Services</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1,483</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ind w:left="720" w:hanging="720"/>
              <w:jc w:val="right"/>
              <w:rPr>
                <w:rFonts w:cs="Arial"/>
                <w:sz w:val="22"/>
                <w:szCs w:val="22"/>
                <w:lang w:eastAsia="en-GB"/>
              </w:rPr>
            </w:pPr>
            <w:r>
              <w:rPr>
                <w:rFonts w:cs="Arial"/>
                <w:sz w:val="22"/>
                <w:szCs w:val="22"/>
                <w:lang w:eastAsia="en-GB"/>
              </w:rPr>
              <w:t>741</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715</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(26)</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rPr>
                <w:rFonts w:cs="Arial"/>
                <w:sz w:val="22"/>
                <w:szCs w:val="22"/>
                <w:lang w:eastAsia="en-GB"/>
              </w:rPr>
            </w:pPr>
            <w:r>
              <w:rPr>
                <w:rFonts w:cs="Arial"/>
                <w:sz w:val="22"/>
                <w:szCs w:val="22"/>
                <w:lang w:eastAsia="en-GB"/>
              </w:rPr>
              <w:t xml:space="preserve">Housing </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1,368</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ind w:left="720" w:hanging="720"/>
              <w:jc w:val="right"/>
              <w:rPr>
                <w:rFonts w:cs="Arial"/>
                <w:sz w:val="22"/>
                <w:szCs w:val="22"/>
                <w:lang w:eastAsia="en-GB"/>
              </w:rPr>
            </w:pPr>
            <w:r>
              <w:rPr>
                <w:rFonts w:cs="Arial"/>
                <w:sz w:val="22"/>
                <w:szCs w:val="22"/>
                <w:lang w:eastAsia="en-GB"/>
              </w:rPr>
              <w:t>678</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671</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(7)</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rPr>
                <w:rFonts w:cs="Arial"/>
                <w:sz w:val="22"/>
                <w:szCs w:val="22"/>
                <w:lang w:eastAsia="en-GB"/>
              </w:rPr>
            </w:pPr>
            <w:r>
              <w:rPr>
                <w:rFonts w:cs="Arial"/>
                <w:sz w:val="22"/>
                <w:szCs w:val="22"/>
                <w:lang w:eastAsia="en-GB"/>
              </w:rPr>
              <w:lastRenderedPageBreak/>
              <w:t>Community Development</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1,688</w:t>
            </w:r>
          </w:p>
        </w:tc>
        <w:tc>
          <w:tcPr>
            <w:tcW w:w="1134"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ind w:left="720" w:hanging="720"/>
              <w:jc w:val="right"/>
              <w:rPr>
                <w:rFonts w:cs="Arial"/>
                <w:sz w:val="22"/>
                <w:szCs w:val="22"/>
                <w:lang w:eastAsia="en-GB"/>
              </w:rPr>
            </w:pPr>
            <w:r>
              <w:rPr>
                <w:rFonts w:cs="Arial"/>
                <w:sz w:val="22"/>
                <w:szCs w:val="22"/>
                <w:lang w:eastAsia="en-GB"/>
              </w:rPr>
              <w:t>842</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859</w:t>
            </w:r>
          </w:p>
        </w:tc>
        <w:tc>
          <w:tcPr>
            <w:tcW w:w="1134"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right"/>
              <w:rPr>
                <w:rFonts w:cs="Arial"/>
                <w:sz w:val="22"/>
                <w:szCs w:val="22"/>
                <w:lang w:eastAsia="en-GB"/>
              </w:rPr>
            </w:pPr>
            <w:r>
              <w:rPr>
                <w:rFonts w:cs="Arial"/>
                <w:sz w:val="22"/>
                <w:szCs w:val="22"/>
                <w:lang w:eastAsia="en-GB"/>
              </w:rPr>
              <w:t>17</w:t>
            </w:r>
          </w:p>
        </w:tc>
      </w:tr>
      <w:tr w:rsidR="00866D25" w:rsidTr="00866D25">
        <w:trPr>
          <w:trHeight w:val="255"/>
        </w:trPr>
        <w:tc>
          <w:tcPr>
            <w:tcW w:w="3958"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rPr>
                <w:rFonts w:cs="Arial"/>
                <w:b/>
                <w:sz w:val="22"/>
                <w:szCs w:val="22"/>
                <w:lang w:eastAsia="en-GB"/>
              </w:rPr>
            </w:pPr>
            <w:r>
              <w:rPr>
                <w:rFonts w:cs="Arial"/>
                <w:b/>
                <w:sz w:val="22"/>
                <w:szCs w:val="22"/>
                <w:lang w:eastAsia="en-GB"/>
              </w:rPr>
              <w:t>Total</w:t>
            </w:r>
          </w:p>
        </w:tc>
        <w:tc>
          <w:tcPr>
            <w:tcW w:w="1134" w:type="dxa"/>
            <w:tcBorders>
              <w:top w:val="single" w:sz="4" w:space="0" w:color="auto"/>
              <w:left w:val="dotted" w:sz="4" w:space="0" w:color="auto"/>
              <w:bottom w:val="single" w:sz="4" w:space="0" w:color="auto"/>
              <w:right w:val="dotted" w:sz="4" w:space="0" w:color="auto"/>
            </w:tcBorders>
            <w:vAlign w:val="center"/>
            <w:hideMark/>
          </w:tcPr>
          <w:p w:rsidR="00866D25" w:rsidRDefault="00866D25">
            <w:pPr>
              <w:ind w:left="720" w:hanging="720"/>
              <w:jc w:val="right"/>
              <w:rPr>
                <w:rFonts w:cs="Arial"/>
                <w:b/>
                <w:sz w:val="22"/>
                <w:szCs w:val="22"/>
                <w:lang w:eastAsia="en-GB"/>
              </w:rPr>
            </w:pPr>
            <w:r>
              <w:rPr>
                <w:rFonts w:cs="Arial"/>
                <w:b/>
                <w:sz w:val="22"/>
                <w:szCs w:val="22"/>
                <w:lang w:eastAsia="en-GB"/>
              </w:rPr>
              <w:t>10,387</w:t>
            </w:r>
          </w:p>
        </w:tc>
        <w:tc>
          <w:tcPr>
            <w:tcW w:w="1134" w:type="dxa"/>
            <w:tcBorders>
              <w:top w:val="single" w:sz="4" w:space="0" w:color="auto"/>
              <w:left w:val="dotted" w:sz="4" w:space="0" w:color="auto"/>
              <w:bottom w:val="single" w:sz="4" w:space="0" w:color="auto"/>
              <w:right w:val="dotted" w:sz="4" w:space="0" w:color="auto"/>
            </w:tcBorders>
            <w:noWrap/>
            <w:vAlign w:val="center"/>
            <w:hideMark/>
          </w:tcPr>
          <w:p w:rsidR="00866D25" w:rsidRDefault="00866D25">
            <w:pPr>
              <w:ind w:left="720" w:hanging="720"/>
              <w:jc w:val="right"/>
              <w:rPr>
                <w:rFonts w:cs="Arial"/>
                <w:b/>
                <w:sz w:val="22"/>
                <w:szCs w:val="22"/>
                <w:lang w:eastAsia="en-GB"/>
              </w:rPr>
            </w:pPr>
            <w:r>
              <w:rPr>
                <w:rFonts w:cs="Arial"/>
                <w:b/>
                <w:sz w:val="22"/>
                <w:szCs w:val="22"/>
                <w:lang w:eastAsia="en-GB"/>
              </w:rPr>
              <w:t>5,145</w:t>
            </w:r>
          </w:p>
        </w:tc>
        <w:tc>
          <w:tcPr>
            <w:tcW w:w="1134" w:type="dxa"/>
            <w:tcBorders>
              <w:top w:val="single" w:sz="4" w:space="0" w:color="auto"/>
              <w:left w:val="dotted" w:sz="4" w:space="0" w:color="auto"/>
              <w:bottom w:val="single" w:sz="4" w:space="0" w:color="auto"/>
              <w:right w:val="dotted" w:sz="4" w:space="0" w:color="auto"/>
            </w:tcBorders>
            <w:vAlign w:val="center"/>
            <w:hideMark/>
          </w:tcPr>
          <w:p w:rsidR="00866D25" w:rsidRDefault="00866D25">
            <w:pPr>
              <w:ind w:left="720" w:hanging="720"/>
              <w:jc w:val="right"/>
              <w:rPr>
                <w:rFonts w:cs="Arial"/>
                <w:b/>
                <w:sz w:val="22"/>
                <w:szCs w:val="22"/>
                <w:lang w:eastAsia="en-GB"/>
              </w:rPr>
            </w:pPr>
            <w:r>
              <w:rPr>
                <w:rFonts w:cs="Arial"/>
                <w:b/>
                <w:sz w:val="22"/>
                <w:szCs w:val="22"/>
                <w:lang w:eastAsia="en-GB"/>
              </w:rPr>
              <w:t>5,138</w:t>
            </w:r>
          </w:p>
        </w:tc>
        <w:tc>
          <w:tcPr>
            <w:tcW w:w="1134" w:type="dxa"/>
            <w:tcBorders>
              <w:top w:val="single" w:sz="4" w:space="0" w:color="auto"/>
              <w:left w:val="dotted" w:sz="4" w:space="0" w:color="auto"/>
              <w:bottom w:val="single" w:sz="4" w:space="0" w:color="auto"/>
              <w:right w:val="dotted" w:sz="4" w:space="0" w:color="auto"/>
            </w:tcBorders>
            <w:vAlign w:val="center"/>
            <w:hideMark/>
          </w:tcPr>
          <w:p w:rsidR="00866D25" w:rsidRDefault="00866D25">
            <w:pPr>
              <w:ind w:left="720" w:hanging="720"/>
              <w:jc w:val="right"/>
              <w:rPr>
                <w:rFonts w:cs="Arial"/>
                <w:b/>
                <w:sz w:val="22"/>
                <w:szCs w:val="22"/>
                <w:lang w:eastAsia="en-GB"/>
              </w:rPr>
            </w:pPr>
            <w:r>
              <w:rPr>
                <w:rFonts w:cs="Arial"/>
                <w:b/>
                <w:sz w:val="22"/>
                <w:szCs w:val="22"/>
                <w:lang w:eastAsia="en-GB"/>
              </w:rPr>
              <w:t>(7)</w:t>
            </w:r>
          </w:p>
        </w:tc>
      </w:tr>
    </w:tbl>
    <w:p w:rsidR="00866D25" w:rsidRDefault="00866D25" w:rsidP="00866D25">
      <w:pPr>
        <w:ind w:left="720" w:hanging="720"/>
        <w:rPr>
          <w:rFonts w:cs="Arial"/>
          <w:sz w:val="22"/>
          <w:szCs w:val="22"/>
          <w:highlight w:val="yellow"/>
        </w:rPr>
      </w:pPr>
    </w:p>
    <w:p w:rsidR="00866D25" w:rsidRDefault="00866D25" w:rsidP="00866D25">
      <w:pPr>
        <w:pStyle w:val="ListParagraph"/>
        <w:numPr>
          <w:ilvl w:val="1"/>
          <w:numId w:val="31"/>
        </w:numPr>
        <w:tabs>
          <w:tab w:val="left" w:pos="720"/>
        </w:tabs>
        <w:spacing w:after="0" w:line="240" w:lineRule="auto"/>
        <w:ind w:left="709" w:hanging="709"/>
        <w:rPr>
          <w:rFonts w:ascii="Arial" w:hAnsi="Arial" w:cs="Arial"/>
        </w:rPr>
      </w:pPr>
      <w:r>
        <w:rPr>
          <w:rFonts w:ascii="Arial" w:hAnsi="Arial" w:cs="Arial"/>
        </w:rPr>
        <w:t xml:space="preserve">The table set out below shows the performance of the </w:t>
      </w:r>
      <w:r w:rsidR="00D02D7D">
        <w:rPr>
          <w:rFonts w:ascii="Arial" w:hAnsi="Arial" w:cs="Arial"/>
        </w:rPr>
        <w:t>C</w:t>
      </w:r>
      <w:r>
        <w:rPr>
          <w:rFonts w:ascii="Arial" w:hAnsi="Arial" w:cs="Arial"/>
        </w:rPr>
        <w:t>ouncil’s key income drivers (excluding property).  Where these are anticipated to vary significantly from the budget, an estimate of the year end effect has been included in table 2 above accordingly.</w:t>
      </w:r>
    </w:p>
    <w:p w:rsidR="00866D25" w:rsidRDefault="00866D25" w:rsidP="00866D25">
      <w:pPr>
        <w:ind w:left="720" w:hanging="720"/>
        <w:rPr>
          <w:rFonts w:cs="Arial"/>
          <w:sz w:val="22"/>
          <w:szCs w:val="22"/>
        </w:rPr>
      </w:pPr>
    </w:p>
    <w:tbl>
      <w:tblPr>
        <w:tblW w:w="7502"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8"/>
        <w:gridCol w:w="1174"/>
        <w:gridCol w:w="1174"/>
        <w:gridCol w:w="1276"/>
      </w:tblGrid>
      <w:tr w:rsidR="00866D25" w:rsidTr="00866D25">
        <w:trPr>
          <w:trHeight w:val="255"/>
        </w:trPr>
        <w:tc>
          <w:tcPr>
            <w:tcW w:w="7502" w:type="dxa"/>
            <w:gridSpan w:val="4"/>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center"/>
            <w:hideMark/>
          </w:tcPr>
          <w:p w:rsidR="00866D25" w:rsidRDefault="00866D25">
            <w:pPr>
              <w:ind w:left="720" w:hanging="720"/>
              <w:jc w:val="center"/>
              <w:rPr>
                <w:rFonts w:cs="Arial"/>
                <w:sz w:val="22"/>
                <w:szCs w:val="22"/>
                <w:lang w:eastAsia="en-GB"/>
              </w:rPr>
            </w:pPr>
            <w:r>
              <w:rPr>
                <w:rFonts w:cs="Arial"/>
                <w:b/>
                <w:bCs/>
                <w:sz w:val="22"/>
                <w:szCs w:val="22"/>
                <w:lang w:eastAsia="en-GB"/>
              </w:rPr>
              <w:t>Table 4 – Performance of key income drivers 2017/18</w:t>
            </w:r>
          </w:p>
        </w:tc>
      </w:tr>
      <w:tr w:rsidR="00866D25" w:rsidTr="00866D25">
        <w:trPr>
          <w:trHeight w:val="255"/>
        </w:trPr>
        <w:tc>
          <w:tcPr>
            <w:tcW w:w="3946" w:type="dxa"/>
            <w:tcBorders>
              <w:top w:val="dotted" w:sz="4" w:space="0" w:color="auto"/>
              <w:left w:val="dotted" w:sz="4" w:space="0" w:color="auto"/>
              <w:bottom w:val="dotted" w:sz="4" w:space="0" w:color="auto"/>
              <w:right w:val="dotted" w:sz="4" w:space="0" w:color="auto"/>
            </w:tcBorders>
            <w:vAlign w:val="center"/>
          </w:tcPr>
          <w:p w:rsidR="00866D25" w:rsidRDefault="00866D25">
            <w:pPr>
              <w:ind w:left="720" w:hanging="720"/>
              <w:rPr>
                <w:rFonts w:cs="Arial"/>
                <w:sz w:val="22"/>
                <w:szCs w:val="22"/>
                <w:lang w:eastAsia="en-GB"/>
              </w:rPr>
            </w:pPr>
          </w:p>
        </w:tc>
        <w:tc>
          <w:tcPr>
            <w:tcW w:w="1140" w:type="dxa"/>
            <w:tcBorders>
              <w:top w:val="dotted" w:sz="4" w:space="0" w:color="auto"/>
              <w:left w:val="dotted" w:sz="4" w:space="0" w:color="auto"/>
              <w:bottom w:val="dotted" w:sz="4" w:space="0" w:color="auto"/>
              <w:right w:val="dotted" w:sz="4" w:space="0" w:color="auto"/>
            </w:tcBorders>
            <w:vAlign w:val="center"/>
            <w:hideMark/>
          </w:tcPr>
          <w:p w:rsidR="00866D25" w:rsidRDefault="00866D25">
            <w:pPr>
              <w:ind w:left="720" w:hanging="720"/>
              <w:jc w:val="center"/>
              <w:rPr>
                <w:rFonts w:cs="Arial"/>
                <w:b/>
                <w:sz w:val="22"/>
                <w:szCs w:val="22"/>
                <w:lang w:eastAsia="en-GB"/>
              </w:rPr>
            </w:pPr>
            <w:r>
              <w:rPr>
                <w:rFonts w:cs="Arial"/>
                <w:b/>
                <w:sz w:val="22"/>
                <w:szCs w:val="22"/>
                <w:lang w:eastAsia="en-GB"/>
              </w:rPr>
              <w:t>Original</w:t>
            </w:r>
          </w:p>
          <w:p w:rsidR="00866D25" w:rsidRDefault="00866D25">
            <w:pPr>
              <w:ind w:left="720" w:hanging="720"/>
              <w:jc w:val="center"/>
              <w:rPr>
                <w:rFonts w:cs="Arial"/>
                <w:b/>
                <w:sz w:val="22"/>
                <w:szCs w:val="22"/>
                <w:lang w:eastAsia="en-GB"/>
              </w:rPr>
            </w:pPr>
            <w:r>
              <w:rPr>
                <w:rFonts w:cs="Arial"/>
                <w:b/>
                <w:sz w:val="22"/>
                <w:szCs w:val="22"/>
                <w:lang w:eastAsia="en-GB"/>
              </w:rPr>
              <w:t>Budget</w:t>
            </w:r>
          </w:p>
          <w:p w:rsidR="00866D25" w:rsidRDefault="00866D25">
            <w:pPr>
              <w:ind w:left="720" w:hanging="720"/>
              <w:jc w:val="center"/>
              <w:rPr>
                <w:rFonts w:cs="Arial"/>
                <w:b/>
                <w:sz w:val="22"/>
                <w:szCs w:val="22"/>
                <w:lang w:eastAsia="en-GB"/>
              </w:rPr>
            </w:pPr>
            <w:r>
              <w:rPr>
                <w:rFonts w:cs="Arial"/>
                <w:b/>
                <w:sz w:val="22"/>
                <w:szCs w:val="22"/>
                <w:lang w:eastAsia="en-GB"/>
              </w:rPr>
              <w:t>£000</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ind w:left="720" w:hanging="720"/>
              <w:jc w:val="center"/>
              <w:rPr>
                <w:rFonts w:cs="Arial"/>
                <w:b/>
                <w:bCs/>
                <w:sz w:val="22"/>
                <w:szCs w:val="22"/>
                <w:lang w:eastAsia="en-GB"/>
              </w:rPr>
            </w:pPr>
            <w:r>
              <w:rPr>
                <w:rFonts w:cs="Arial"/>
                <w:b/>
                <w:bCs/>
                <w:sz w:val="22"/>
                <w:szCs w:val="22"/>
                <w:lang w:eastAsia="en-GB"/>
              </w:rPr>
              <w:t>Profiled</w:t>
            </w:r>
          </w:p>
          <w:p w:rsidR="00866D25" w:rsidRDefault="00866D25">
            <w:pPr>
              <w:ind w:left="720" w:hanging="720"/>
              <w:jc w:val="center"/>
              <w:rPr>
                <w:rFonts w:cs="Arial"/>
                <w:b/>
                <w:bCs/>
                <w:sz w:val="22"/>
                <w:szCs w:val="22"/>
                <w:lang w:eastAsia="en-GB"/>
              </w:rPr>
            </w:pPr>
            <w:r>
              <w:rPr>
                <w:rFonts w:cs="Arial"/>
                <w:b/>
                <w:bCs/>
                <w:sz w:val="22"/>
                <w:szCs w:val="22"/>
                <w:lang w:eastAsia="en-GB"/>
              </w:rPr>
              <w:t>Budget</w:t>
            </w:r>
          </w:p>
          <w:p w:rsidR="00866D25" w:rsidRDefault="00866D25">
            <w:pPr>
              <w:ind w:left="720" w:hanging="720"/>
              <w:jc w:val="center"/>
              <w:rPr>
                <w:rFonts w:cs="Arial"/>
                <w:b/>
                <w:bCs/>
                <w:sz w:val="22"/>
                <w:szCs w:val="22"/>
                <w:lang w:eastAsia="en-GB"/>
              </w:rPr>
            </w:pPr>
            <w:r>
              <w:rPr>
                <w:rFonts w:cs="Arial"/>
                <w:b/>
                <w:bCs/>
                <w:sz w:val="22"/>
                <w:szCs w:val="22"/>
                <w:lang w:eastAsia="en-GB"/>
              </w:rPr>
              <w:t>£000</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ind w:left="720" w:hanging="720"/>
              <w:jc w:val="center"/>
              <w:rPr>
                <w:rFonts w:cs="Arial"/>
                <w:b/>
                <w:bCs/>
                <w:sz w:val="22"/>
                <w:szCs w:val="22"/>
                <w:lang w:eastAsia="en-GB"/>
              </w:rPr>
            </w:pPr>
            <w:r>
              <w:rPr>
                <w:rFonts w:cs="Arial"/>
                <w:b/>
                <w:bCs/>
                <w:sz w:val="22"/>
                <w:szCs w:val="22"/>
                <w:lang w:eastAsia="en-GB"/>
              </w:rPr>
              <w:t>Actual</w:t>
            </w:r>
          </w:p>
          <w:p w:rsidR="00866D25" w:rsidRDefault="00866D25">
            <w:pPr>
              <w:ind w:left="720" w:hanging="720"/>
              <w:jc w:val="center"/>
              <w:rPr>
                <w:rFonts w:cs="Arial"/>
                <w:b/>
                <w:bCs/>
                <w:sz w:val="22"/>
                <w:szCs w:val="22"/>
                <w:lang w:eastAsia="en-GB"/>
              </w:rPr>
            </w:pPr>
            <w:r>
              <w:rPr>
                <w:rFonts w:cs="Arial"/>
                <w:b/>
                <w:bCs/>
                <w:sz w:val="22"/>
                <w:szCs w:val="22"/>
                <w:lang w:eastAsia="en-GB"/>
              </w:rPr>
              <w:t>to Date</w:t>
            </w:r>
          </w:p>
          <w:p w:rsidR="00866D25" w:rsidRDefault="00866D25">
            <w:pPr>
              <w:ind w:left="720" w:hanging="720"/>
              <w:jc w:val="center"/>
              <w:rPr>
                <w:rFonts w:cs="Arial"/>
                <w:b/>
                <w:bCs/>
                <w:sz w:val="22"/>
                <w:szCs w:val="22"/>
                <w:lang w:eastAsia="en-GB"/>
              </w:rPr>
            </w:pPr>
            <w:r>
              <w:rPr>
                <w:rFonts w:cs="Arial"/>
                <w:b/>
                <w:bCs/>
                <w:sz w:val="22"/>
                <w:szCs w:val="22"/>
                <w:lang w:eastAsia="en-GB"/>
              </w:rPr>
              <w:t>£000</w:t>
            </w:r>
          </w:p>
        </w:tc>
      </w:tr>
      <w:tr w:rsidR="00866D25" w:rsidTr="00866D25">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Halls income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145</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86</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77</w:t>
            </w:r>
          </w:p>
        </w:tc>
      </w:tr>
      <w:tr w:rsidR="00866D25" w:rsidTr="00866D25">
        <w:trPr>
          <w:trHeight w:val="242"/>
        </w:trPr>
        <w:tc>
          <w:tcPr>
            <w:tcW w:w="394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Cemetery income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209</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86</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116</w:t>
            </w:r>
          </w:p>
        </w:tc>
      </w:tr>
      <w:tr w:rsidR="00866D25" w:rsidTr="00866D25">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Community meals (Day Centre)</w:t>
            </w:r>
          </w:p>
        </w:tc>
        <w:tc>
          <w:tcPr>
            <w:tcW w:w="1140"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169</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86</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72</w:t>
            </w:r>
          </w:p>
        </w:tc>
      </w:tr>
      <w:tr w:rsidR="00866D25" w:rsidTr="00866D25">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Community meals (Meals at Home)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157</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75</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87</w:t>
            </w:r>
          </w:p>
        </w:tc>
      </w:tr>
      <w:tr w:rsidR="00866D25" w:rsidTr="00866D25">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Trade waste income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480</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374</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365</w:t>
            </w:r>
          </w:p>
        </w:tc>
      </w:tr>
      <w:tr w:rsidR="00866D25" w:rsidTr="00866D25">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Off street parking P&amp;D  income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485</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237</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255</w:t>
            </w:r>
          </w:p>
        </w:tc>
      </w:tr>
      <w:tr w:rsidR="00866D25" w:rsidTr="00866D25">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Yellow bus s106 income</w:t>
            </w:r>
          </w:p>
        </w:tc>
        <w:tc>
          <w:tcPr>
            <w:tcW w:w="1140"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267</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133</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0</w:t>
            </w:r>
          </w:p>
        </w:tc>
      </w:tr>
      <w:tr w:rsidR="00866D25" w:rsidTr="00866D25">
        <w:trPr>
          <w:trHeight w:val="255"/>
        </w:trPr>
        <w:tc>
          <w:tcPr>
            <w:tcW w:w="394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Planning fees</w:t>
            </w:r>
          </w:p>
        </w:tc>
        <w:tc>
          <w:tcPr>
            <w:tcW w:w="1140"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700</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350</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372</w:t>
            </w:r>
          </w:p>
        </w:tc>
      </w:tr>
      <w:tr w:rsidR="00866D25" w:rsidTr="00866D25">
        <w:trPr>
          <w:trHeight w:val="255"/>
        </w:trPr>
        <w:tc>
          <w:tcPr>
            <w:tcW w:w="3946" w:type="dxa"/>
            <w:tcBorders>
              <w:top w:val="dotted" w:sz="4" w:space="0" w:color="auto"/>
              <w:left w:val="dotted" w:sz="4" w:space="0" w:color="auto"/>
              <w:bottom w:val="single"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Local land charge search fees</w:t>
            </w:r>
          </w:p>
        </w:tc>
        <w:tc>
          <w:tcPr>
            <w:tcW w:w="1140" w:type="dxa"/>
            <w:tcBorders>
              <w:top w:val="dotted" w:sz="4" w:space="0" w:color="auto"/>
              <w:left w:val="dotted" w:sz="4" w:space="0" w:color="auto"/>
              <w:bottom w:val="single" w:sz="4" w:space="0" w:color="auto"/>
              <w:right w:val="dotted" w:sz="4" w:space="0" w:color="auto"/>
            </w:tcBorders>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235</w:t>
            </w:r>
          </w:p>
        </w:tc>
        <w:tc>
          <w:tcPr>
            <w:tcW w:w="1140" w:type="dxa"/>
            <w:tcBorders>
              <w:top w:val="dotted" w:sz="4" w:space="0" w:color="auto"/>
              <w:left w:val="dotted" w:sz="4" w:space="0" w:color="auto"/>
              <w:bottom w:val="single" w:sz="4" w:space="0" w:color="auto"/>
              <w:right w:val="dotted" w:sz="4" w:space="0" w:color="auto"/>
            </w:tcBorders>
            <w:noWrap/>
            <w:vAlign w:val="bottom"/>
            <w:hideMark/>
          </w:tcPr>
          <w:p w:rsidR="00866D25" w:rsidRDefault="00866D25">
            <w:pPr>
              <w:tabs>
                <w:tab w:val="left" w:pos="522"/>
              </w:tabs>
              <w:ind w:left="590"/>
              <w:jc w:val="right"/>
              <w:rPr>
                <w:rFonts w:cs="Arial"/>
                <w:sz w:val="22"/>
                <w:szCs w:val="22"/>
                <w:lang w:eastAsia="en-GB"/>
              </w:rPr>
            </w:pPr>
            <w:r>
              <w:rPr>
                <w:rFonts w:cs="Arial"/>
                <w:sz w:val="22"/>
                <w:szCs w:val="22"/>
                <w:lang w:eastAsia="en-GB"/>
              </w:rPr>
              <w:t>120</w:t>
            </w: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866D25" w:rsidRDefault="00866D25">
            <w:pPr>
              <w:tabs>
                <w:tab w:val="left" w:pos="522"/>
              </w:tabs>
              <w:ind w:left="590"/>
              <w:jc w:val="right"/>
              <w:rPr>
                <w:rFonts w:cs="Arial"/>
                <w:sz w:val="22"/>
                <w:szCs w:val="22"/>
                <w:highlight w:val="yellow"/>
                <w:lang w:eastAsia="en-GB"/>
              </w:rPr>
            </w:pPr>
            <w:r>
              <w:rPr>
                <w:rFonts w:cs="Arial"/>
                <w:sz w:val="22"/>
                <w:szCs w:val="22"/>
                <w:lang w:eastAsia="en-GB"/>
              </w:rPr>
              <w:t>110</w:t>
            </w:r>
          </w:p>
        </w:tc>
      </w:tr>
      <w:tr w:rsidR="00866D25" w:rsidTr="00866D25">
        <w:trPr>
          <w:trHeight w:val="255"/>
        </w:trPr>
        <w:tc>
          <w:tcPr>
            <w:tcW w:w="3946" w:type="dxa"/>
            <w:tcBorders>
              <w:top w:val="single" w:sz="4" w:space="0" w:color="auto"/>
              <w:left w:val="dotted" w:sz="4" w:space="0" w:color="auto"/>
              <w:bottom w:val="single" w:sz="4" w:space="0" w:color="auto"/>
              <w:right w:val="dotted" w:sz="4" w:space="0" w:color="auto"/>
            </w:tcBorders>
            <w:vAlign w:val="bottom"/>
            <w:hideMark/>
          </w:tcPr>
          <w:p w:rsidR="00866D25" w:rsidRDefault="00866D25">
            <w:pPr>
              <w:tabs>
                <w:tab w:val="left" w:pos="522"/>
              </w:tabs>
              <w:rPr>
                <w:rFonts w:cs="Arial"/>
                <w:b/>
                <w:sz w:val="22"/>
                <w:szCs w:val="22"/>
                <w:lang w:eastAsia="en-GB"/>
              </w:rPr>
            </w:pPr>
            <w:r>
              <w:rPr>
                <w:rFonts w:cs="Arial"/>
                <w:b/>
                <w:sz w:val="22"/>
                <w:szCs w:val="22"/>
                <w:lang w:eastAsia="en-GB"/>
              </w:rPr>
              <w:t>TOTALS</w:t>
            </w:r>
          </w:p>
        </w:tc>
        <w:tc>
          <w:tcPr>
            <w:tcW w:w="1140" w:type="dxa"/>
            <w:tcBorders>
              <w:top w:val="single" w:sz="4" w:space="0" w:color="auto"/>
              <w:left w:val="dotted" w:sz="4" w:space="0" w:color="auto"/>
              <w:bottom w:val="single" w:sz="4" w:space="0" w:color="auto"/>
              <w:right w:val="dotted" w:sz="4" w:space="0" w:color="auto"/>
            </w:tcBorders>
            <w:vAlign w:val="bottom"/>
            <w:hideMark/>
          </w:tcPr>
          <w:p w:rsidR="00866D25" w:rsidRDefault="00866D25">
            <w:pPr>
              <w:jc w:val="right"/>
              <w:rPr>
                <w:rFonts w:cs="Arial"/>
                <w:b/>
                <w:sz w:val="22"/>
                <w:szCs w:val="22"/>
              </w:rPr>
            </w:pPr>
            <w:r>
              <w:rPr>
                <w:rFonts w:cs="Arial"/>
                <w:b/>
                <w:sz w:val="22"/>
                <w:szCs w:val="22"/>
              </w:rPr>
              <w:t>2,847</w:t>
            </w:r>
          </w:p>
        </w:tc>
        <w:tc>
          <w:tcPr>
            <w:tcW w:w="1140" w:type="dxa"/>
            <w:tcBorders>
              <w:top w:val="single" w:sz="4" w:space="0" w:color="auto"/>
              <w:left w:val="dotted" w:sz="4" w:space="0" w:color="auto"/>
              <w:bottom w:val="single" w:sz="4" w:space="0" w:color="auto"/>
              <w:right w:val="dotted" w:sz="4" w:space="0" w:color="auto"/>
            </w:tcBorders>
            <w:noWrap/>
            <w:vAlign w:val="bottom"/>
            <w:hideMark/>
          </w:tcPr>
          <w:p w:rsidR="00866D25" w:rsidRDefault="00866D25">
            <w:pPr>
              <w:jc w:val="right"/>
              <w:rPr>
                <w:rFonts w:cs="Arial"/>
                <w:b/>
                <w:sz w:val="22"/>
                <w:szCs w:val="22"/>
              </w:rPr>
            </w:pPr>
            <w:r>
              <w:rPr>
                <w:rFonts w:cs="Arial"/>
                <w:b/>
                <w:sz w:val="22"/>
                <w:szCs w:val="22"/>
              </w:rPr>
              <w:t>1,547</w:t>
            </w:r>
          </w:p>
        </w:tc>
        <w:tc>
          <w:tcPr>
            <w:tcW w:w="1276" w:type="dxa"/>
            <w:tcBorders>
              <w:top w:val="single" w:sz="4" w:space="0" w:color="auto"/>
              <w:left w:val="dotted" w:sz="4" w:space="0" w:color="auto"/>
              <w:bottom w:val="single" w:sz="4" w:space="0" w:color="auto"/>
              <w:right w:val="dotted" w:sz="4" w:space="0" w:color="auto"/>
            </w:tcBorders>
            <w:noWrap/>
            <w:vAlign w:val="bottom"/>
            <w:hideMark/>
          </w:tcPr>
          <w:p w:rsidR="00866D25" w:rsidRDefault="00866D25">
            <w:pPr>
              <w:jc w:val="right"/>
              <w:rPr>
                <w:rFonts w:cs="Arial"/>
                <w:b/>
                <w:sz w:val="22"/>
                <w:szCs w:val="22"/>
                <w:highlight w:val="yellow"/>
              </w:rPr>
            </w:pPr>
            <w:r>
              <w:rPr>
                <w:rFonts w:cs="Arial"/>
                <w:b/>
                <w:sz w:val="22"/>
                <w:szCs w:val="22"/>
              </w:rPr>
              <w:t>1,454</w:t>
            </w:r>
          </w:p>
        </w:tc>
      </w:tr>
    </w:tbl>
    <w:p w:rsidR="00866D25" w:rsidRDefault="00866D25" w:rsidP="00866D25">
      <w:pPr>
        <w:ind w:left="720" w:hanging="720"/>
        <w:rPr>
          <w:rFonts w:cs="Arial"/>
          <w:sz w:val="22"/>
          <w:szCs w:val="22"/>
        </w:rPr>
      </w:pPr>
      <w:r>
        <w:rPr>
          <w:rFonts w:cs="Arial"/>
          <w:sz w:val="22"/>
          <w:szCs w:val="22"/>
        </w:rPr>
        <w:tab/>
      </w:r>
    </w:p>
    <w:p w:rsidR="00866D25" w:rsidRDefault="00866D25" w:rsidP="00866D25">
      <w:pPr>
        <w:pStyle w:val="ListParagraph"/>
        <w:numPr>
          <w:ilvl w:val="1"/>
          <w:numId w:val="31"/>
        </w:numPr>
        <w:tabs>
          <w:tab w:val="left" w:pos="720"/>
        </w:tabs>
        <w:spacing w:after="0" w:line="240" w:lineRule="auto"/>
        <w:ind w:left="720" w:hanging="720"/>
        <w:rPr>
          <w:rFonts w:ascii="Arial" w:hAnsi="Arial" w:cs="Arial"/>
        </w:rPr>
      </w:pPr>
      <w:r>
        <w:rPr>
          <w:rFonts w:ascii="Arial" w:hAnsi="Arial" w:cs="Arial"/>
        </w:rPr>
        <w:t>The school yellow bus service is predominantly funded by section 106 developer contributions.  The current year assumes that £267,000 of new section106 money will be received in the current year to fund the service.  As at 30 September, no new money had been received</w:t>
      </w:r>
      <w:r w:rsidR="00D02D7D">
        <w:rPr>
          <w:rFonts w:ascii="Arial" w:hAnsi="Arial" w:cs="Arial"/>
        </w:rPr>
        <w:t>.  H</w:t>
      </w:r>
      <w:r>
        <w:rPr>
          <w:rFonts w:ascii="Arial" w:hAnsi="Arial" w:cs="Arial"/>
        </w:rPr>
        <w:t>owever</w:t>
      </w:r>
      <w:r w:rsidR="00D02D7D">
        <w:rPr>
          <w:rFonts w:ascii="Arial" w:hAnsi="Arial" w:cs="Arial"/>
        </w:rPr>
        <w:t>,</w:t>
      </w:r>
      <w:r>
        <w:rPr>
          <w:rFonts w:ascii="Arial" w:hAnsi="Arial" w:cs="Arial"/>
        </w:rPr>
        <w:t xml:space="preserve"> £203,000 is still expected in 2017/18, leaving a shortfall of £65,000 which has been included in the figures in Table 2 above.</w:t>
      </w:r>
    </w:p>
    <w:p w:rsidR="00866D25" w:rsidRDefault="00866D25" w:rsidP="00866D25">
      <w:pPr>
        <w:pStyle w:val="ListParagraph"/>
        <w:tabs>
          <w:tab w:val="left" w:pos="720"/>
        </w:tabs>
        <w:ind w:left="360"/>
        <w:rPr>
          <w:rFonts w:ascii="Arial" w:hAnsi="Arial" w:cs="Arial"/>
          <w:color w:val="FF0000"/>
        </w:rPr>
      </w:pPr>
      <w:r>
        <w:rPr>
          <w:rFonts w:ascii="Arial" w:hAnsi="Arial" w:cs="Arial"/>
          <w:color w:val="FF0000"/>
        </w:rPr>
        <w:t xml:space="preserve"> </w:t>
      </w:r>
    </w:p>
    <w:p w:rsidR="00866D25" w:rsidRDefault="00866D25" w:rsidP="00866D25">
      <w:pPr>
        <w:pStyle w:val="ListParagraph"/>
        <w:tabs>
          <w:tab w:val="left" w:pos="720"/>
        </w:tabs>
        <w:ind w:left="360"/>
        <w:rPr>
          <w:rFonts w:ascii="Arial" w:hAnsi="Arial" w:cs="Arial"/>
          <w:u w:val="single"/>
        </w:rPr>
      </w:pPr>
      <w:r>
        <w:rPr>
          <w:rFonts w:ascii="Arial" w:hAnsi="Arial" w:cs="Arial"/>
          <w:color w:val="FF0000"/>
        </w:rPr>
        <w:tab/>
      </w:r>
      <w:r>
        <w:rPr>
          <w:rFonts w:ascii="Arial" w:hAnsi="Arial" w:cs="Arial"/>
          <w:u w:val="single"/>
        </w:rPr>
        <w:t>Treasury and Financing</w:t>
      </w:r>
    </w:p>
    <w:p w:rsidR="00866D25" w:rsidRDefault="00866D25" w:rsidP="00866D25">
      <w:pPr>
        <w:pStyle w:val="ListParagraph"/>
        <w:tabs>
          <w:tab w:val="left" w:pos="720"/>
        </w:tabs>
        <w:ind w:left="360"/>
        <w:rPr>
          <w:rFonts w:ascii="Arial" w:hAnsi="Arial" w:cs="Arial"/>
          <w:u w:val="single"/>
        </w:rPr>
      </w:pPr>
    </w:p>
    <w:p w:rsidR="00866D25" w:rsidRDefault="00866D25" w:rsidP="00866D25">
      <w:pPr>
        <w:pStyle w:val="ListParagraph"/>
        <w:numPr>
          <w:ilvl w:val="1"/>
          <w:numId w:val="32"/>
        </w:numPr>
        <w:tabs>
          <w:tab w:val="left" w:pos="720"/>
        </w:tabs>
        <w:spacing w:after="0" w:line="240" w:lineRule="auto"/>
        <w:ind w:left="709" w:hanging="709"/>
        <w:rPr>
          <w:rFonts w:ascii="Arial" w:hAnsi="Arial" w:cs="Arial"/>
        </w:rPr>
      </w:pPr>
      <w:r>
        <w:rPr>
          <w:rFonts w:ascii="Arial" w:hAnsi="Arial" w:cs="Arial"/>
        </w:rPr>
        <w:t xml:space="preserve">The 2017/18 Treasury Management Strategy report was presented to this </w:t>
      </w:r>
      <w:r w:rsidR="00D02D7D">
        <w:rPr>
          <w:rFonts w:ascii="Arial" w:hAnsi="Arial" w:cs="Arial"/>
        </w:rPr>
        <w:t>C</w:t>
      </w:r>
      <w:r>
        <w:rPr>
          <w:rFonts w:ascii="Arial" w:hAnsi="Arial" w:cs="Arial"/>
        </w:rPr>
        <w:t xml:space="preserve">ommittee at the end of February 2017. </w:t>
      </w:r>
    </w:p>
    <w:p w:rsidR="00866D25" w:rsidRDefault="00866D25" w:rsidP="00866D25">
      <w:pPr>
        <w:ind w:left="720" w:hanging="720"/>
        <w:rPr>
          <w:rFonts w:cs="Arial"/>
          <w:sz w:val="22"/>
          <w:szCs w:val="22"/>
        </w:rPr>
      </w:pPr>
    </w:p>
    <w:p w:rsidR="00866D25" w:rsidRDefault="00866D25" w:rsidP="00866D25">
      <w:pPr>
        <w:pStyle w:val="ListParagraph"/>
        <w:numPr>
          <w:ilvl w:val="1"/>
          <w:numId w:val="32"/>
        </w:numPr>
        <w:spacing w:after="0" w:line="240" w:lineRule="auto"/>
        <w:ind w:left="709" w:hanging="709"/>
        <w:rPr>
          <w:rFonts w:ascii="Arial" w:hAnsi="Arial" w:cs="Arial"/>
        </w:rPr>
      </w:pPr>
      <w:r>
        <w:rPr>
          <w:rFonts w:ascii="Arial" w:hAnsi="Arial" w:cs="Arial"/>
        </w:rPr>
        <w:t>One major factor affecting the treasury operations of the Council is the need to borrow to fund property acquisitions and development schemes.  Borrowing is undertaken at the most opportune time where it can be planned in advance, however to a certain extent the Council is constrained by the timing of when suitable properties come to the market.  As an example, a £20m property purchase at the start of the year will ensure more rental income for the current year but will also vary the borrowing costs based on the timing of the transaction and the interest rates applicable at that time.  A summary of the effects of this based on information at the end of June is set out in para</w:t>
      </w:r>
      <w:r w:rsidR="00D02D7D">
        <w:rPr>
          <w:rFonts w:ascii="Arial" w:hAnsi="Arial" w:cs="Arial"/>
        </w:rPr>
        <w:t xml:space="preserve">graph </w:t>
      </w:r>
      <w:r>
        <w:rPr>
          <w:rFonts w:ascii="Arial" w:hAnsi="Arial" w:cs="Arial"/>
        </w:rPr>
        <w:t>2.15 below.</w:t>
      </w:r>
    </w:p>
    <w:p w:rsidR="00866D25" w:rsidRDefault="00866D25" w:rsidP="00866D25">
      <w:pPr>
        <w:rPr>
          <w:rFonts w:cs="Arial"/>
          <w:sz w:val="22"/>
          <w:szCs w:val="22"/>
        </w:rPr>
      </w:pPr>
    </w:p>
    <w:p w:rsidR="00866D25" w:rsidRDefault="00866D25" w:rsidP="00866D25">
      <w:pPr>
        <w:pStyle w:val="ListParagraph"/>
        <w:numPr>
          <w:ilvl w:val="1"/>
          <w:numId w:val="32"/>
        </w:numPr>
        <w:tabs>
          <w:tab w:val="left" w:pos="720"/>
        </w:tabs>
        <w:spacing w:after="0" w:line="240" w:lineRule="auto"/>
        <w:rPr>
          <w:rFonts w:ascii="Arial" w:hAnsi="Arial" w:cs="Arial"/>
        </w:rPr>
      </w:pPr>
      <w:r>
        <w:rPr>
          <w:rFonts w:ascii="Arial" w:hAnsi="Arial" w:cs="Arial"/>
        </w:rPr>
        <w:t xml:space="preserve">A full report on all treasury activity during the first six months of the year is reported on this </w:t>
      </w:r>
      <w:r>
        <w:rPr>
          <w:rFonts w:ascii="Arial" w:hAnsi="Arial" w:cs="Arial"/>
        </w:rPr>
        <w:tab/>
        <w:t>agenda.</w:t>
      </w:r>
    </w:p>
    <w:p w:rsidR="00866D25" w:rsidRDefault="00866D25" w:rsidP="00866D25">
      <w:pPr>
        <w:rPr>
          <w:rFonts w:cs="Arial"/>
          <w:sz w:val="22"/>
          <w:szCs w:val="22"/>
        </w:rPr>
      </w:pPr>
    </w:p>
    <w:p w:rsidR="00866D25" w:rsidRDefault="00866D25" w:rsidP="00866D25">
      <w:pPr>
        <w:ind w:left="720" w:hanging="720"/>
        <w:rPr>
          <w:rFonts w:cs="Arial"/>
          <w:sz w:val="22"/>
          <w:szCs w:val="22"/>
          <w:u w:val="single"/>
        </w:rPr>
      </w:pPr>
      <w:r>
        <w:rPr>
          <w:rFonts w:cs="Arial"/>
          <w:sz w:val="22"/>
          <w:szCs w:val="22"/>
        </w:rPr>
        <w:tab/>
      </w:r>
      <w:r>
        <w:rPr>
          <w:rFonts w:cs="Arial"/>
          <w:sz w:val="22"/>
          <w:szCs w:val="22"/>
          <w:u w:val="single"/>
        </w:rPr>
        <w:t>Government Grants</w:t>
      </w:r>
    </w:p>
    <w:p w:rsidR="00866D25" w:rsidRDefault="00866D25" w:rsidP="00866D25">
      <w:pPr>
        <w:ind w:left="720" w:hanging="720"/>
        <w:rPr>
          <w:rFonts w:cs="Arial"/>
          <w:sz w:val="22"/>
          <w:szCs w:val="22"/>
        </w:rPr>
      </w:pPr>
    </w:p>
    <w:p w:rsidR="00866D25" w:rsidRDefault="00866D25" w:rsidP="00866D25">
      <w:pPr>
        <w:pStyle w:val="ListParagraph"/>
        <w:numPr>
          <w:ilvl w:val="1"/>
          <w:numId w:val="32"/>
        </w:numPr>
        <w:tabs>
          <w:tab w:val="left" w:pos="720"/>
        </w:tabs>
        <w:spacing w:after="0" w:line="240" w:lineRule="auto"/>
        <w:ind w:left="709" w:hanging="709"/>
        <w:rPr>
          <w:rFonts w:ascii="Arial" w:hAnsi="Arial" w:cs="Arial"/>
        </w:rPr>
      </w:pPr>
      <w:r>
        <w:rPr>
          <w:rFonts w:ascii="Arial" w:hAnsi="Arial" w:cs="Arial"/>
        </w:rPr>
        <w:t>Government Grants encompass the Revenue Support Grant, New Homes Bonus Grant and any other non-service specific grants that the government release during the year.  At the current time there is no change to the original estimate for these grants other than a small increase in the New Homes Bonus in the current year for unused grant recycled to authorities.</w:t>
      </w:r>
    </w:p>
    <w:p w:rsidR="00866D25" w:rsidRDefault="00866D25" w:rsidP="00866D25">
      <w:pPr>
        <w:ind w:left="720" w:hanging="720"/>
        <w:rPr>
          <w:rFonts w:cs="Arial"/>
          <w:sz w:val="22"/>
          <w:szCs w:val="22"/>
        </w:rPr>
      </w:pPr>
    </w:p>
    <w:p w:rsidR="00866D25" w:rsidRDefault="00866D25" w:rsidP="00866D25">
      <w:pPr>
        <w:ind w:left="720" w:hanging="720"/>
        <w:rPr>
          <w:rFonts w:cs="Arial"/>
          <w:sz w:val="22"/>
          <w:szCs w:val="22"/>
          <w:u w:val="single"/>
        </w:rPr>
      </w:pPr>
      <w:r>
        <w:rPr>
          <w:rFonts w:cs="Arial"/>
          <w:sz w:val="22"/>
          <w:szCs w:val="22"/>
        </w:rPr>
        <w:tab/>
      </w:r>
      <w:r>
        <w:rPr>
          <w:rFonts w:cs="Arial"/>
          <w:sz w:val="22"/>
          <w:szCs w:val="22"/>
          <w:u w:val="single"/>
        </w:rPr>
        <w:t>Business Rates and Council Tax Collection</w:t>
      </w:r>
    </w:p>
    <w:p w:rsidR="00866D25" w:rsidRDefault="00866D25" w:rsidP="00866D25">
      <w:pPr>
        <w:ind w:left="720" w:hanging="720"/>
        <w:rPr>
          <w:rFonts w:cs="Arial"/>
          <w:sz w:val="22"/>
          <w:szCs w:val="22"/>
          <w:u w:val="single"/>
        </w:rPr>
      </w:pPr>
    </w:p>
    <w:p w:rsidR="00866D25" w:rsidRDefault="00866D25" w:rsidP="00866D25">
      <w:pPr>
        <w:ind w:left="720" w:hanging="720"/>
        <w:rPr>
          <w:rFonts w:cs="Arial"/>
          <w:sz w:val="22"/>
          <w:szCs w:val="22"/>
        </w:rPr>
      </w:pPr>
      <w:r>
        <w:rPr>
          <w:rFonts w:cs="Arial"/>
          <w:sz w:val="22"/>
          <w:szCs w:val="22"/>
        </w:rPr>
        <w:lastRenderedPageBreak/>
        <w:t>2.14</w:t>
      </w:r>
      <w:r>
        <w:rPr>
          <w:rFonts w:cs="Arial"/>
          <w:sz w:val="22"/>
          <w:szCs w:val="22"/>
        </w:rPr>
        <w:tab/>
        <w:t xml:space="preserve">A significant income stream for the Council is the income from taxation.  Collection rates for both business rates and </w:t>
      </w:r>
      <w:r w:rsidR="00D02D7D">
        <w:rPr>
          <w:rFonts w:cs="Arial"/>
          <w:sz w:val="22"/>
          <w:szCs w:val="22"/>
        </w:rPr>
        <w:t>C</w:t>
      </w:r>
      <w:r>
        <w:rPr>
          <w:rFonts w:cs="Arial"/>
          <w:sz w:val="22"/>
          <w:szCs w:val="22"/>
        </w:rPr>
        <w:t xml:space="preserve">ouncil </w:t>
      </w:r>
      <w:r w:rsidR="00D02D7D">
        <w:rPr>
          <w:rFonts w:cs="Arial"/>
          <w:sz w:val="22"/>
          <w:szCs w:val="22"/>
        </w:rPr>
        <w:t>T</w:t>
      </w:r>
      <w:r>
        <w:rPr>
          <w:rFonts w:cs="Arial"/>
          <w:sz w:val="22"/>
          <w:szCs w:val="22"/>
        </w:rPr>
        <w:t>ax are monitored on a weekly basis by the Corporate Director of Resources.  Collection rates for the period (as at 30 September) were as follows:</w:t>
      </w:r>
    </w:p>
    <w:p w:rsidR="00866D25" w:rsidRDefault="00866D25" w:rsidP="00866D25">
      <w:pPr>
        <w:ind w:left="720" w:hanging="720"/>
        <w:rPr>
          <w:rFonts w:cs="Arial"/>
          <w:sz w:val="22"/>
          <w:szCs w:val="22"/>
        </w:rPr>
      </w:pP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42"/>
        <w:gridCol w:w="1134"/>
        <w:gridCol w:w="1195"/>
      </w:tblGrid>
      <w:tr w:rsidR="00866D25" w:rsidTr="00866D25">
        <w:tc>
          <w:tcPr>
            <w:tcW w:w="7610"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866D25" w:rsidRDefault="00866D25">
            <w:pPr>
              <w:jc w:val="center"/>
              <w:rPr>
                <w:rFonts w:cs="Arial"/>
                <w:b/>
                <w:sz w:val="22"/>
                <w:szCs w:val="22"/>
              </w:rPr>
            </w:pPr>
            <w:r>
              <w:rPr>
                <w:rFonts w:cs="Arial"/>
                <w:b/>
                <w:sz w:val="22"/>
                <w:szCs w:val="22"/>
              </w:rPr>
              <w:t>Table 5 – Collection rates</w:t>
            </w:r>
          </w:p>
        </w:tc>
      </w:tr>
      <w:tr w:rsidR="00866D25" w:rsidTr="00866D25">
        <w:trPr>
          <w:trHeight w:val="673"/>
        </w:trPr>
        <w:tc>
          <w:tcPr>
            <w:tcW w:w="5342" w:type="dxa"/>
            <w:tcBorders>
              <w:top w:val="dotted" w:sz="4" w:space="0" w:color="auto"/>
              <w:left w:val="dotted" w:sz="4" w:space="0" w:color="auto"/>
              <w:bottom w:val="dotted" w:sz="4" w:space="0" w:color="auto"/>
              <w:right w:val="dotted" w:sz="4" w:space="0" w:color="auto"/>
            </w:tcBorders>
          </w:tcPr>
          <w:p w:rsidR="00866D25" w:rsidRDefault="00866D25">
            <w:pPr>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center"/>
              <w:rPr>
                <w:rFonts w:cs="Arial"/>
                <w:b/>
                <w:sz w:val="22"/>
                <w:szCs w:val="22"/>
              </w:rPr>
            </w:pPr>
            <w:r>
              <w:rPr>
                <w:rFonts w:cs="Arial"/>
                <w:b/>
                <w:sz w:val="22"/>
                <w:szCs w:val="22"/>
              </w:rPr>
              <w:t>Council Tax</w:t>
            </w:r>
            <w:r>
              <w:rPr>
                <w:rFonts w:cs="Arial"/>
                <w:b/>
                <w:sz w:val="22"/>
                <w:szCs w:val="22"/>
              </w:rPr>
              <w:br/>
              <w:t>£’000</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center"/>
              <w:rPr>
                <w:rFonts w:cs="Arial"/>
                <w:b/>
                <w:sz w:val="22"/>
                <w:szCs w:val="22"/>
              </w:rPr>
            </w:pPr>
            <w:r>
              <w:rPr>
                <w:rFonts w:cs="Arial"/>
                <w:b/>
                <w:sz w:val="22"/>
                <w:szCs w:val="22"/>
              </w:rPr>
              <w:t>Business Rates</w:t>
            </w:r>
          </w:p>
          <w:p w:rsidR="00866D25" w:rsidRDefault="00866D25">
            <w:pPr>
              <w:jc w:val="center"/>
              <w:rPr>
                <w:rFonts w:cs="Arial"/>
                <w:b/>
                <w:sz w:val="22"/>
                <w:szCs w:val="22"/>
              </w:rPr>
            </w:pPr>
            <w:r>
              <w:rPr>
                <w:rFonts w:cs="Arial"/>
                <w:b/>
                <w:sz w:val="22"/>
                <w:szCs w:val="22"/>
              </w:rPr>
              <w:t>£’000</w:t>
            </w:r>
          </w:p>
        </w:tc>
      </w:tr>
      <w:tr w:rsidR="00866D25" w:rsidTr="00866D25">
        <w:tc>
          <w:tcPr>
            <w:tcW w:w="5342" w:type="dxa"/>
            <w:tcBorders>
              <w:top w:val="dotted" w:sz="4" w:space="0" w:color="auto"/>
              <w:left w:val="dotted" w:sz="4" w:space="0" w:color="auto"/>
              <w:bottom w:val="dotted" w:sz="4" w:space="0" w:color="auto"/>
              <w:right w:val="dotted" w:sz="4" w:space="0" w:color="auto"/>
            </w:tcBorders>
            <w:hideMark/>
          </w:tcPr>
          <w:p w:rsidR="00866D25" w:rsidRDefault="00866D25">
            <w:pPr>
              <w:rPr>
                <w:rFonts w:cs="Arial"/>
                <w:sz w:val="22"/>
                <w:szCs w:val="22"/>
              </w:rPr>
            </w:pPr>
            <w:r>
              <w:rPr>
                <w:rFonts w:cs="Arial"/>
                <w:sz w:val="22"/>
                <w:szCs w:val="22"/>
              </w:rPr>
              <w:t>Collectable debit for the year</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57,421</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53,415</w:t>
            </w:r>
          </w:p>
        </w:tc>
      </w:tr>
      <w:tr w:rsidR="00866D25" w:rsidTr="00866D25">
        <w:tc>
          <w:tcPr>
            <w:tcW w:w="5342" w:type="dxa"/>
            <w:tcBorders>
              <w:top w:val="dotted" w:sz="4" w:space="0" w:color="auto"/>
              <w:left w:val="dotted" w:sz="4" w:space="0" w:color="auto"/>
              <w:bottom w:val="dotted" w:sz="4" w:space="0" w:color="auto"/>
              <w:right w:val="dotted" w:sz="4" w:space="0" w:color="auto"/>
            </w:tcBorders>
            <w:hideMark/>
          </w:tcPr>
          <w:p w:rsidR="00866D25" w:rsidRDefault="00866D25">
            <w:pPr>
              <w:rPr>
                <w:rFonts w:cs="Arial"/>
                <w:sz w:val="22"/>
                <w:szCs w:val="22"/>
              </w:rPr>
            </w:pPr>
            <w:r>
              <w:rPr>
                <w:rFonts w:cs="Arial"/>
                <w:sz w:val="22"/>
                <w:szCs w:val="22"/>
              </w:rPr>
              <w:t>Cash received for period</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33,889</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31,104</w:t>
            </w:r>
          </w:p>
        </w:tc>
      </w:tr>
      <w:tr w:rsidR="00866D25" w:rsidTr="00866D25">
        <w:tc>
          <w:tcPr>
            <w:tcW w:w="5342" w:type="dxa"/>
            <w:tcBorders>
              <w:top w:val="dotted" w:sz="4" w:space="0" w:color="auto"/>
              <w:left w:val="dotted" w:sz="4" w:space="0" w:color="auto"/>
              <w:bottom w:val="dotted" w:sz="4" w:space="0" w:color="auto"/>
              <w:right w:val="dotted" w:sz="4" w:space="0" w:color="auto"/>
            </w:tcBorders>
          </w:tcPr>
          <w:p w:rsidR="00866D25" w:rsidRDefault="00866D25">
            <w:pPr>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866D25" w:rsidRDefault="00866D25">
            <w:pPr>
              <w:jc w:val="right"/>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866D25" w:rsidRDefault="00866D25">
            <w:pPr>
              <w:jc w:val="right"/>
              <w:rPr>
                <w:rFonts w:cs="Arial"/>
                <w:sz w:val="22"/>
                <w:szCs w:val="22"/>
              </w:rPr>
            </w:pPr>
          </w:p>
        </w:tc>
      </w:tr>
      <w:tr w:rsidR="00866D25" w:rsidTr="00866D25">
        <w:tc>
          <w:tcPr>
            <w:tcW w:w="5342" w:type="dxa"/>
            <w:tcBorders>
              <w:top w:val="dotted" w:sz="4" w:space="0" w:color="auto"/>
              <w:left w:val="dotted" w:sz="4" w:space="0" w:color="auto"/>
              <w:bottom w:val="dotted" w:sz="4" w:space="0" w:color="auto"/>
              <w:right w:val="dotted" w:sz="4" w:space="0" w:color="auto"/>
            </w:tcBorders>
            <w:hideMark/>
          </w:tcPr>
          <w:p w:rsidR="00866D25" w:rsidRDefault="00866D25">
            <w:pPr>
              <w:rPr>
                <w:rFonts w:cs="Arial"/>
                <w:sz w:val="22"/>
                <w:szCs w:val="22"/>
              </w:rPr>
            </w:pPr>
            <w:r>
              <w:rPr>
                <w:rFonts w:cs="Arial"/>
                <w:sz w:val="22"/>
                <w:szCs w:val="22"/>
              </w:rPr>
              <w:t xml:space="preserve">% of cash received to date – Target </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58.83%</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56.13%</w:t>
            </w:r>
          </w:p>
        </w:tc>
      </w:tr>
      <w:tr w:rsidR="00866D25" w:rsidTr="00866D25">
        <w:tc>
          <w:tcPr>
            <w:tcW w:w="5342" w:type="dxa"/>
            <w:tcBorders>
              <w:top w:val="dotted" w:sz="4" w:space="0" w:color="auto"/>
              <w:left w:val="dotted" w:sz="4" w:space="0" w:color="auto"/>
              <w:bottom w:val="dotted" w:sz="4" w:space="0" w:color="auto"/>
              <w:right w:val="dotted" w:sz="4" w:space="0" w:color="auto"/>
            </w:tcBorders>
            <w:hideMark/>
          </w:tcPr>
          <w:p w:rsidR="00866D25" w:rsidRDefault="00866D25">
            <w:pPr>
              <w:rPr>
                <w:rFonts w:cs="Arial"/>
                <w:sz w:val="22"/>
                <w:szCs w:val="22"/>
              </w:rPr>
            </w:pPr>
            <w:r>
              <w:rPr>
                <w:rFonts w:cs="Arial"/>
                <w:sz w:val="22"/>
                <w:szCs w:val="22"/>
              </w:rPr>
              <w:t xml:space="preserve">% of cash received to date – Actual </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59.02%</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58.23%</w:t>
            </w:r>
          </w:p>
        </w:tc>
      </w:tr>
      <w:tr w:rsidR="00866D25" w:rsidTr="00866D25">
        <w:tc>
          <w:tcPr>
            <w:tcW w:w="5342" w:type="dxa"/>
            <w:tcBorders>
              <w:top w:val="dotted" w:sz="4" w:space="0" w:color="auto"/>
              <w:left w:val="dotted" w:sz="4" w:space="0" w:color="auto"/>
              <w:bottom w:val="dotted" w:sz="4" w:space="0" w:color="auto"/>
              <w:right w:val="dotted" w:sz="4" w:space="0" w:color="auto"/>
            </w:tcBorders>
          </w:tcPr>
          <w:p w:rsidR="00866D25" w:rsidRDefault="00866D25">
            <w:pPr>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866D25" w:rsidRDefault="00866D25">
            <w:pPr>
              <w:jc w:val="right"/>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866D25" w:rsidRDefault="00866D25">
            <w:pPr>
              <w:jc w:val="right"/>
              <w:rPr>
                <w:rFonts w:cs="Arial"/>
                <w:sz w:val="22"/>
                <w:szCs w:val="22"/>
              </w:rPr>
            </w:pPr>
          </w:p>
        </w:tc>
      </w:tr>
      <w:tr w:rsidR="00866D25" w:rsidTr="00866D25">
        <w:tc>
          <w:tcPr>
            <w:tcW w:w="5342" w:type="dxa"/>
            <w:tcBorders>
              <w:top w:val="dotted" w:sz="4" w:space="0" w:color="auto"/>
              <w:left w:val="dotted" w:sz="4" w:space="0" w:color="auto"/>
              <w:bottom w:val="dotted" w:sz="4" w:space="0" w:color="auto"/>
              <w:right w:val="dotted" w:sz="4" w:space="0" w:color="auto"/>
            </w:tcBorders>
            <w:hideMark/>
          </w:tcPr>
          <w:p w:rsidR="00866D25" w:rsidRDefault="00866D25">
            <w:pPr>
              <w:rPr>
                <w:rFonts w:cs="Arial"/>
                <w:sz w:val="22"/>
                <w:szCs w:val="22"/>
              </w:rPr>
            </w:pPr>
            <w:r>
              <w:rPr>
                <w:rFonts w:cs="Arial"/>
                <w:sz w:val="22"/>
                <w:szCs w:val="22"/>
              </w:rPr>
              <w:t>% of cash received for the year – Target</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99.00%</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99.00%</w:t>
            </w:r>
          </w:p>
        </w:tc>
      </w:tr>
      <w:tr w:rsidR="00866D25" w:rsidTr="00866D25">
        <w:tc>
          <w:tcPr>
            <w:tcW w:w="5342" w:type="dxa"/>
            <w:tcBorders>
              <w:top w:val="dotted" w:sz="4" w:space="0" w:color="auto"/>
              <w:left w:val="dotted" w:sz="4" w:space="0" w:color="auto"/>
              <w:bottom w:val="dotted" w:sz="4" w:space="0" w:color="auto"/>
              <w:right w:val="dotted" w:sz="4" w:space="0" w:color="auto"/>
            </w:tcBorders>
          </w:tcPr>
          <w:p w:rsidR="00866D25" w:rsidRDefault="00866D25">
            <w:pPr>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866D25" w:rsidRDefault="00866D25">
            <w:pPr>
              <w:jc w:val="right"/>
              <w:rPr>
                <w:rFonts w:cs="Arial"/>
                <w:sz w:val="22"/>
                <w:szCs w:val="22"/>
              </w:rPr>
            </w:pPr>
          </w:p>
        </w:tc>
        <w:tc>
          <w:tcPr>
            <w:tcW w:w="1134" w:type="dxa"/>
            <w:tcBorders>
              <w:top w:val="dotted" w:sz="4" w:space="0" w:color="auto"/>
              <w:left w:val="dotted" w:sz="4" w:space="0" w:color="auto"/>
              <w:bottom w:val="dotted" w:sz="4" w:space="0" w:color="auto"/>
              <w:right w:val="dotted" w:sz="4" w:space="0" w:color="auto"/>
            </w:tcBorders>
          </w:tcPr>
          <w:p w:rsidR="00866D25" w:rsidRDefault="00866D25">
            <w:pPr>
              <w:jc w:val="right"/>
              <w:rPr>
                <w:rFonts w:cs="Arial"/>
                <w:sz w:val="22"/>
                <w:szCs w:val="22"/>
              </w:rPr>
            </w:pPr>
          </w:p>
        </w:tc>
      </w:tr>
      <w:tr w:rsidR="00866D25" w:rsidTr="00866D25">
        <w:tc>
          <w:tcPr>
            <w:tcW w:w="5342" w:type="dxa"/>
            <w:tcBorders>
              <w:top w:val="dotted" w:sz="4" w:space="0" w:color="auto"/>
              <w:left w:val="dotted" w:sz="4" w:space="0" w:color="auto"/>
              <w:bottom w:val="dotted" w:sz="4" w:space="0" w:color="auto"/>
              <w:right w:val="dotted" w:sz="4" w:space="0" w:color="auto"/>
            </w:tcBorders>
            <w:hideMark/>
          </w:tcPr>
          <w:p w:rsidR="00866D25" w:rsidRDefault="00866D25">
            <w:pPr>
              <w:rPr>
                <w:rFonts w:cs="Arial"/>
                <w:sz w:val="22"/>
                <w:szCs w:val="22"/>
              </w:rPr>
            </w:pPr>
            <w:r>
              <w:rPr>
                <w:rFonts w:cs="Arial"/>
                <w:sz w:val="22"/>
                <w:szCs w:val="22"/>
              </w:rPr>
              <w:t>% of collectable debit written off</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0.00%</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rPr>
            </w:pPr>
            <w:r>
              <w:rPr>
                <w:rFonts w:cs="Arial"/>
                <w:sz w:val="22"/>
                <w:szCs w:val="22"/>
              </w:rPr>
              <w:t>0.00%</w:t>
            </w:r>
          </w:p>
        </w:tc>
      </w:tr>
    </w:tbl>
    <w:p w:rsidR="00866D25" w:rsidRDefault="00866D25" w:rsidP="00866D25">
      <w:pPr>
        <w:ind w:left="709"/>
        <w:rPr>
          <w:rFonts w:cs="Arial"/>
          <w:sz w:val="22"/>
          <w:szCs w:val="22"/>
        </w:rPr>
      </w:pPr>
    </w:p>
    <w:p w:rsidR="00866D25" w:rsidRDefault="00866D25" w:rsidP="00866D25">
      <w:pPr>
        <w:ind w:left="720" w:hanging="720"/>
        <w:rPr>
          <w:rFonts w:cs="Arial"/>
          <w:sz w:val="22"/>
          <w:szCs w:val="22"/>
          <w:u w:val="single"/>
        </w:rPr>
      </w:pPr>
      <w:r>
        <w:rPr>
          <w:rFonts w:cs="Arial"/>
          <w:sz w:val="22"/>
          <w:szCs w:val="22"/>
        </w:rPr>
        <w:tab/>
      </w:r>
      <w:r>
        <w:rPr>
          <w:rFonts w:cs="Arial"/>
          <w:sz w:val="22"/>
          <w:szCs w:val="22"/>
          <w:u w:val="single"/>
        </w:rPr>
        <w:t>Property Investment Strategy</w:t>
      </w:r>
    </w:p>
    <w:p w:rsidR="00866D25" w:rsidRDefault="00866D25" w:rsidP="00866D25">
      <w:pPr>
        <w:ind w:left="720" w:hanging="720"/>
        <w:rPr>
          <w:rFonts w:cs="Arial"/>
          <w:sz w:val="22"/>
          <w:szCs w:val="22"/>
        </w:rPr>
      </w:pPr>
    </w:p>
    <w:p w:rsidR="00866D25" w:rsidRDefault="00866D25" w:rsidP="00866D25">
      <w:pPr>
        <w:ind w:left="720" w:hanging="720"/>
        <w:rPr>
          <w:rFonts w:cs="Arial"/>
          <w:sz w:val="22"/>
          <w:szCs w:val="22"/>
        </w:rPr>
      </w:pPr>
      <w:r>
        <w:rPr>
          <w:rFonts w:cs="Arial"/>
          <w:sz w:val="22"/>
          <w:szCs w:val="22"/>
        </w:rPr>
        <w:t>2.15</w:t>
      </w:r>
      <w:r>
        <w:rPr>
          <w:rFonts w:cs="Arial"/>
          <w:sz w:val="22"/>
          <w:szCs w:val="22"/>
        </w:rPr>
        <w:tab/>
        <w:t xml:space="preserve">One of the biggest areas of the Council’s income and expenditure relates to investments in property and regeneration schemes.  The budgets for the Property Investment Strategy were set at the start of the calendar year based on new investments being purchased half way through the year which generate a gross yield of 5% at an average borrowing rate of 3% (2% net yield).  Property purchased purely for strategic purposes could be purchased at a lower yield.  </w:t>
      </w:r>
    </w:p>
    <w:p w:rsidR="00866D25" w:rsidRDefault="00866D25" w:rsidP="00866D25">
      <w:pPr>
        <w:ind w:left="720" w:hanging="720"/>
        <w:rPr>
          <w:rFonts w:cs="Arial"/>
          <w:sz w:val="22"/>
          <w:szCs w:val="22"/>
        </w:rPr>
      </w:pPr>
    </w:p>
    <w:p w:rsidR="00866D25" w:rsidRDefault="00866D25" w:rsidP="00866D25">
      <w:pPr>
        <w:ind w:left="720" w:hanging="720"/>
        <w:rPr>
          <w:rFonts w:cs="Arial"/>
          <w:sz w:val="22"/>
          <w:szCs w:val="22"/>
        </w:rPr>
      </w:pPr>
      <w:r>
        <w:rPr>
          <w:rFonts w:cs="Arial"/>
          <w:sz w:val="22"/>
          <w:szCs w:val="22"/>
        </w:rPr>
        <w:t>2.16</w:t>
      </w:r>
      <w:r>
        <w:rPr>
          <w:rFonts w:cs="Arial"/>
          <w:sz w:val="22"/>
          <w:szCs w:val="22"/>
        </w:rPr>
        <w:tab/>
        <w:t xml:space="preserve">Property investment is highly reliant on suitable properties coming onto the market and the timing differences can skew the Council’s bottom line figures quite significantly, as can the interest rates applicable at the time of purchase.  The following table sets out the original property related budgets against the revised figures based on purchases to date and assumed future purchases (using 1 October as the purchase date): </w:t>
      </w:r>
    </w:p>
    <w:p w:rsidR="00866D25" w:rsidRDefault="00866D25" w:rsidP="00866D25">
      <w:pPr>
        <w:ind w:left="720" w:hanging="720"/>
        <w:rPr>
          <w:rFonts w:cs="Arial"/>
          <w:sz w:val="22"/>
          <w:szCs w:val="22"/>
        </w:rPr>
      </w:pPr>
    </w:p>
    <w:tbl>
      <w:tblPr>
        <w:tblW w:w="7502"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86"/>
        <w:gridCol w:w="1140"/>
        <w:gridCol w:w="1276"/>
      </w:tblGrid>
      <w:tr w:rsidR="00866D25" w:rsidTr="00866D25">
        <w:trPr>
          <w:trHeight w:val="255"/>
        </w:trPr>
        <w:tc>
          <w:tcPr>
            <w:tcW w:w="7502"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center"/>
            <w:hideMark/>
          </w:tcPr>
          <w:p w:rsidR="00866D25" w:rsidRDefault="00866D25">
            <w:pPr>
              <w:ind w:left="720" w:hanging="720"/>
              <w:jc w:val="center"/>
              <w:rPr>
                <w:rFonts w:cs="Arial"/>
                <w:sz w:val="22"/>
                <w:szCs w:val="22"/>
                <w:lang w:eastAsia="en-GB"/>
              </w:rPr>
            </w:pPr>
            <w:r>
              <w:rPr>
                <w:rFonts w:cs="Arial"/>
                <w:b/>
                <w:bCs/>
                <w:sz w:val="22"/>
                <w:szCs w:val="22"/>
                <w:lang w:eastAsia="en-GB"/>
              </w:rPr>
              <w:t>Table 6 – Property investment 2017/18</w:t>
            </w:r>
          </w:p>
        </w:tc>
      </w:tr>
      <w:tr w:rsidR="00866D25" w:rsidTr="00866D25">
        <w:trPr>
          <w:trHeight w:val="255"/>
        </w:trPr>
        <w:tc>
          <w:tcPr>
            <w:tcW w:w="5086" w:type="dxa"/>
            <w:tcBorders>
              <w:top w:val="dotted" w:sz="4" w:space="0" w:color="auto"/>
              <w:left w:val="dotted" w:sz="4" w:space="0" w:color="auto"/>
              <w:bottom w:val="dotted" w:sz="4" w:space="0" w:color="auto"/>
              <w:right w:val="dotted" w:sz="4" w:space="0" w:color="auto"/>
            </w:tcBorders>
            <w:vAlign w:val="center"/>
          </w:tcPr>
          <w:p w:rsidR="00866D25" w:rsidRDefault="00866D25">
            <w:pPr>
              <w:ind w:left="720" w:hanging="720"/>
              <w:jc w:val="center"/>
              <w:rPr>
                <w:rFonts w:cs="Arial"/>
                <w:b/>
                <w:sz w:val="22"/>
                <w:szCs w:val="22"/>
                <w:lang w:eastAsia="en-GB"/>
              </w:rPr>
            </w:pPr>
          </w:p>
        </w:tc>
        <w:tc>
          <w:tcPr>
            <w:tcW w:w="1140" w:type="dxa"/>
            <w:tcBorders>
              <w:top w:val="dotted" w:sz="4" w:space="0" w:color="auto"/>
              <w:left w:val="dotted" w:sz="4" w:space="0" w:color="auto"/>
              <w:bottom w:val="dotted" w:sz="4" w:space="0" w:color="auto"/>
              <w:right w:val="dotted" w:sz="4" w:space="0" w:color="auto"/>
            </w:tcBorders>
            <w:noWrap/>
            <w:vAlign w:val="center"/>
            <w:hideMark/>
          </w:tcPr>
          <w:p w:rsidR="00866D25" w:rsidRDefault="00866D25">
            <w:pPr>
              <w:ind w:left="720" w:hanging="720"/>
              <w:jc w:val="center"/>
              <w:rPr>
                <w:rFonts w:cs="Arial"/>
                <w:b/>
                <w:sz w:val="22"/>
                <w:szCs w:val="22"/>
                <w:lang w:eastAsia="en-GB"/>
              </w:rPr>
            </w:pPr>
            <w:r>
              <w:rPr>
                <w:rFonts w:cs="Arial"/>
                <w:b/>
                <w:sz w:val="22"/>
                <w:szCs w:val="22"/>
                <w:lang w:eastAsia="en-GB"/>
              </w:rPr>
              <w:t>Original</w:t>
            </w:r>
          </w:p>
          <w:p w:rsidR="00866D25" w:rsidRDefault="00866D25">
            <w:pPr>
              <w:ind w:left="720" w:hanging="720"/>
              <w:jc w:val="center"/>
              <w:rPr>
                <w:rFonts w:cs="Arial"/>
                <w:b/>
                <w:sz w:val="22"/>
                <w:szCs w:val="22"/>
                <w:lang w:eastAsia="en-GB"/>
              </w:rPr>
            </w:pPr>
            <w:r>
              <w:rPr>
                <w:rFonts w:cs="Arial"/>
                <w:b/>
                <w:sz w:val="22"/>
                <w:szCs w:val="22"/>
                <w:lang w:eastAsia="en-GB"/>
              </w:rPr>
              <w:t>Budget</w:t>
            </w:r>
          </w:p>
          <w:p w:rsidR="00866D25" w:rsidRDefault="00866D25">
            <w:pPr>
              <w:ind w:left="720" w:hanging="720"/>
              <w:jc w:val="center"/>
              <w:rPr>
                <w:rFonts w:cs="Arial"/>
                <w:b/>
                <w:sz w:val="22"/>
                <w:szCs w:val="22"/>
                <w:lang w:eastAsia="en-GB"/>
              </w:rPr>
            </w:pPr>
            <w:r>
              <w:rPr>
                <w:rFonts w:cs="Arial"/>
                <w:b/>
                <w:sz w:val="22"/>
                <w:szCs w:val="22"/>
                <w:lang w:eastAsia="en-GB"/>
              </w:rPr>
              <w:t>£000</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ind w:left="720" w:hanging="720"/>
              <w:jc w:val="center"/>
              <w:rPr>
                <w:rFonts w:cs="Arial"/>
                <w:b/>
                <w:bCs/>
                <w:sz w:val="22"/>
                <w:szCs w:val="22"/>
                <w:lang w:eastAsia="en-GB"/>
              </w:rPr>
            </w:pPr>
            <w:r>
              <w:rPr>
                <w:rFonts w:cs="Arial"/>
                <w:b/>
                <w:bCs/>
                <w:sz w:val="22"/>
                <w:szCs w:val="22"/>
                <w:lang w:eastAsia="en-GB"/>
              </w:rPr>
              <w:t>Revised</w:t>
            </w:r>
          </w:p>
          <w:p w:rsidR="00866D25" w:rsidRDefault="00866D25">
            <w:pPr>
              <w:ind w:left="720" w:hanging="720"/>
              <w:jc w:val="center"/>
              <w:rPr>
                <w:rFonts w:cs="Arial"/>
                <w:b/>
                <w:bCs/>
                <w:sz w:val="22"/>
                <w:szCs w:val="22"/>
                <w:lang w:eastAsia="en-GB"/>
              </w:rPr>
            </w:pPr>
            <w:r>
              <w:rPr>
                <w:rFonts w:cs="Arial"/>
                <w:b/>
                <w:bCs/>
                <w:sz w:val="22"/>
                <w:szCs w:val="22"/>
                <w:lang w:eastAsia="en-GB"/>
              </w:rPr>
              <w:t>Budget</w:t>
            </w:r>
          </w:p>
          <w:p w:rsidR="00866D25" w:rsidRDefault="00866D25">
            <w:pPr>
              <w:ind w:left="720" w:hanging="720"/>
              <w:jc w:val="center"/>
              <w:rPr>
                <w:rFonts w:cs="Arial"/>
                <w:b/>
                <w:bCs/>
                <w:sz w:val="22"/>
                <w:szCs w:val="22"/>
                <w:lang w:eastAsia="en-GB"/>
              </w:rPr>
            </w:pPr>
            <w:r>
              <w:rPr>
                <w:rFonts w:cs="Arial"/>
                <w:b/>
                <w:bCs/>
                <w:sz w:val="22"/>
                <w:szCs w:val="22"/>
                <w:lang w:eastAsia="en-GB"/>
              </w:rPr>
              <w:t>£000</w:t>
            </w:r>
          </w:p>
        </w:tc>
      </w:tr>
      <w:tr w:rsidR="00866D25" w:rsidTr="00866D25">
        <w:trPr>
          <w:trHeight w:val="255"/>
        </w:trPr>
        <w:tc>
          <w:tcPr>
            <w:tcW w:w="508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Rental income from all commercial property</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ind w:left="40"/>
              <w:jc w:val="right"/>
              <w:rPr>
                <w:rFonts w:cs="Arial"/>
                <w:sz w:val="22"/>
                <w:szCs w:val="22"/>
                <w:lang w:eastAsia="en-GB"/>
              </w:rPr>
            </w:pPr>
            <w:r>
              <w:rPr>
                <w:rFonts w:cs="Arial"/>
                <w:sz w:val="22"/>
                <w:szCs w:val="22"/>
                <w:lang w:eastAsia="en-GB"/>
              </w:rPr>
              <w:t>(12,201)</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ind w:left="34"/>
              <w:jc w:val="right"/>
              <w:rPr>
                <w:rFonts w:cs="Arial"/>
                <w:sz w:val="22"/>
                <w:szCs w:val="22"/>
                <w:lang w:eastAsia="en-GB"/>
              </w:rPr>
            </w:pPr>
            <w:r>
              <w:rPr>
                <w:rFonts w:cs="Arial"/>
                <w:sz w:val="22"/>
                <w:szCs w:val="22"/>
                <w:lang w:eastAsia="en-GB"/>
              </w:rPr>
              <w:t>(11,768)</w:t>
            </w:r>
          </w:p>
        </w:tc>
      </w:tr>
      <w:tr w:rsidR="00866D25" w:rsidTr="00866D25">
        <w:trPr>
          <w:trHeight w:val="255"/>
        </w:trPr>
        <w:tc>
          <w:tcPr>
            <w:tcW w:w="508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 xml:space="preserve"> Borrowing costs (Interest)</w:t>
            </w:r>
          </w:p>
        </w:tc>
        <w:tc>
          <w:tcPr>
            <w:tcW w:w="1140"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40"/>
              <w:jc w:val="right"/>
              <w:rPr>
                <w:rFonts w:cs="Arial"/>
                <w:sz w:val="22"/>
                <w:szCs w:val="22"/>
                <w:lang w:eastAsia="en-GB"/>
              </w:rPr>
            </w:pPr>
            <w:r>
              <w:rPr>
                <w:rFonts w:cs="Arial"/>
                <w:sz w:val="22"/>
                <w:szCs w:val="22"/>
                <w:lang w:eastAsia="en-GB"/>
              </w:rPr>
              <w:t>6,577</w:t>
            </w:r>
          </w:p>
        </w:tc>
        <w:tc>
          <w:tcPr>
            <w:tcW w:w="1276"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40"/>
              <w:jc w:val="right"/>
              <w:rPr>
                <w:rFonts w:cs="Arial"/>
                <w:sz w:val="22"/>
                <w:szCs w:val="22"/>
                <w:lang w:eastAsia="en-GB"/>
              </w:rPr>
            </w:pPr>
            <w:r>
              <w:rPr>
                <w:rFonts w:cs="Arial"/>
                <w:sz w:val="22"/>
                <w:szCs w:val="22"/>
                <w:lang w:eastAsia="en-GB"/>
              </w:rPr>
              <w:t>5,668</w:t>
            </w:r>
          </w:p>
        </w:tc>
      </w:tr>
      <w:tr w:rsidR="00866D25" w:rsidTr="00866D25">
        <w:trPr>
          <w:trHeight w:val="255"/>
        </w:trPr>
        <w:tc>
          <w:tcPr>
            <w:tcW w:w="508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sz w:val="22"/>
                <w:szCs w:val="22"/>
                <w:lang w:eastAsia="en-GB"/>
              </w:rPr>
            </w:pPr>
            <w:r>
              <w:rPr>
                <w:rFonts w:cs="Arial"/>
                <w:sz w:val="22"/>
                <w:szCs w:val="22"/>
                <w:lang w:eastAsia="en-GB"/>
              </w:rPr>
              <w:t>Minimum Revenue Provision (MRP)</w:t>
            </w:r>
          </w:p>
        </w:tc>
        <w:tc>
          <w:tcPr>
            <w:tcW w:w="1140" w:type="dxa"/>
            <w:tcBorders>
              <w:top w:val="dotted" w:sz="4" w:space="0" w:color="auto"/>
              <w:left w:val="dotted" w:sz="4" w:space="0" w:color="auto"/>
              <w:bottom w:val="single" w:sz="4" w:space="0" w:color="auto"/>
              <w:right w:val="dotted" w:sz="4" w:space="0" w:color="auto"/>
            </w:tcBorders>
            <w:noWrap/>
            <w:vAlign w:val="bottom"/>
            <w:hideMark/>
          </w:tcPr>
          <w:p w:rsidR="00866D25" w:rsidRDefault="00866D25">
            <w:pPr>
              <w:tabs>
                <w:tab w:val="left" w:pos="522"/>
              </w:tabs>
              <w:ind w:left="40"/>
              <w:jc w:val="right"/>
              <w:rPr>
                <w:rFonts w:cs="Arial"/>
                <w:sz w:val="22"/>
                <w:szCs w:val="22"/>
                <w:lang w:eastAsia="en-GB"/>
              </w:rPr>
            </w:pPr>
            <w:r>
              <w:rPr>
                <w:rFonts w:cs="Arial"/>
                <w:sz w:val="22"/>
                <w:szCs w:val="22"/>
                <w:lang w:eastAsia="en-GB"/>
              </w:rPr>
              <w:t>1,916</w:t>
            </w: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866D25" w:rsidRDefault="00866D25">
            <w:pPr>
              <w:tabs>
                <w:tab w:val="left" w:pos="522"/>
              </w:tabs>
              <w:ind w:left="40"/>
              <w:jc w:val="right"/>
              <w:rPr>
                <w:rFonts w:cs="Arial"/>
                <w:sz w:val="22"/>
                <w:szCs w:val="22"/>
                <w:lang w:eastAsia="en-GB"/>
              </w:rPr>
            </w:pPr>
            <w:r>
              <w:rPr>
                <w:rFonts w:cs="Arial"/>
                <w:sz w:val="22"/>
                <w:szCs w:val="22"/>
                <w:lang w:eastAsia="en-GB"/>
              </w:rPr>
              <w:t>2,018</w:t>
            </w:r>
          </w:p>
        </w:tc>
      </w:tr>
      <w:tr w:rsidR="00866D25" w:rsidTr="00866D25">
        <w:trPr>
          <w:trHeight w:val="255"/>
        </w:trPr>
        <w:tc>
          <w:tcPr>
            <w:tcW w:w="5086" w:type="dxa"/>
            <w:tcBorders>
              <w:top w:val="dotted" w:sz="4" w:space="0" w:color="auto"/>
              <w:left w:val="dotted" w:sz="4" w:space="0" w:color="auto"/>
              <w:bottom w:val="dotted" w:sz="4" w:space="0" w:color="auto"/>
              <w:right w:val="dotted" w:sz="4" w:space="0" w:color="auto"/>
            </w:tcBorders>
            <w:vAlign w:val="bottom"/>
            <w:hideMark/>
          </w:tcPr>
          <w:p w:rsidR="00866D25" w:rsidRDefault="00866D25">
            <w:pPr>
              <w:tabs>
                <w:tab w:val="left" w:pos="522"/>
              </w:tabs>
              <w:rPr>
                <w:rFonts w:cs="Arial"/>
                <w:b/>
                <w:sz w:val="22"/>
                <w:szCs w:val="22"/>
                <w:lang w:eastAsia="en-GB"/>
              </w:rPr>
            </w:pPr>
            <w:r>
              <w:rPr>
                <w:rFonts w:cs="Arial"/>
                <w:b/>
                <w:sz w:val="22"/>
                <w:szCs w:val="22"/>
                <w:lang w:eastAsia="en-GB"/>
              </w:rPr>
              <w:t>Net income</w:t>
            </w:r>
          </w:p>
        </w:tc>
        <w:tc>
          <w:tcPr>
            <w:tcW w:w="1140" w:type="dxa"/>
            <w:tcBorders>
              <w:top w:val="single" w:sz="4" w:space="0" w:color="auto"/>
              <w:left w:val="dotted" w:sz="4" w:space="0" w:color="auto"/>
              <w:bottom w:val="single" w:sz="4" w:space="0" w:color="auto"/>
              <w:right w:val="dotted" w:sz="4" w:space="0" w:color="auto"/>
            </w:tcBorders>
            <w:noWrap/>
            <w:vAlign w:val="bottom"/>
            <w:hideMark/>
          </w:tcPr>
          <w:p w:rsidR="00866D25" w:rsidRDefault="00866D25">
            <w:pPr>
              <w:tabs>
                <w:tab w:val="left" w:pos="522"/>
              </w:tabs>
              <w:ind w:left="40"/>
              <w:jc w:val="right"/>
              <w:rPr>
                <w:rFonts w:cs="Arial"/>
                <w:b/>
                <w:sz w:val="22"/>
                <w:szCs w:val="22"/>
                <w:lang w:eastAsia="en-GB"/>
              </w:rPr>
            </w:pPr>
            <w:r>
              <w:rPr>
                <w:rFonts w:cs="Arial"/>
                <w:b/>
                <w:sz w:val="22"/>
                <w:szCs w:val="22"/>
                <w:lang w:eastAsia="en-GB"/>
              </w:rPr>
              <w:t>(3,708)</w:t>
            </w:r>
          </w:p>
        </w:tc>
        <w:tc>
          <w:tcPr>
            <w:tcW w:w="1276" w:type="dxa"/>
            <w:tcBorders>
              <w:top w:val="single" w:sz="4" w:space="0" w:color="auto"/>
              <w:left w:val="dotted" w:sz="4" w:space="0" w:color="auto"/>
              <w:bottom w:val="single" w:sz="4" w:space="0" w:color="auto"/>
              <w:right w:val="dotted" w:sz="4" w:space="0" w:color="auto"/>
            </w:tcBorders>
            <w:noWrap/>
            <w:vAlign w:val="bottom"/>
            <w:hideMark/>
          </w:tcPr>
          <w:p w:rsidR="00866D25" w:rsidRDefault="00866D25">
            <w:pPr>
              <w:ind w:left="34"/>
              <w:jc w:val="right"/>
              <w:rPr>
                <w:rFonts w:cs="Arial"/>
                <w:b/>
                <w:sz w:val="22"/>
                <w:szCs w:val="22"/>
                <w:lang w:eastAsia="en-GB"/>
              </w:rPr>
            </w:pPr>
            <w:r>
              <w:rPr>
                <w:rFonts w:cs="Arial"/>
                <w:b/>
                <w:sz w:val="22"/>
                <w:szCs w:val="22"/>
                <w:lang w:eastAsia="en-GB"/>
              </w:rPr>
              <w:t>(4,082)</w:t>
            </w:r>
          </w:p>
        </w:tc>
      </w:tr>
    </w:tbl>
    <w:p w:rsidR="00866D25" w:rsidRDefault="00866D25" w:rsidP="00866D25">
      <w:pPr>
        <w:ind w:left="720" w:hanging="720"/>
        <w:rPr>
          <w:rFonts w:cs="Arial"/>
          <w:sz w:val="22"/>
          <w:szCs w:val="22"/>
        </w:rPr>
      </w:pPr>
    </w:p>
    <w:p w:rsidR="00866D25" w:rsidRDefault="00866D25" w:rsidP="00866D25">
      <w:pPr>
        <w:ind w:left="720" w:hanging="720"/>
        <w:rPr>
          <w:rFonts w:cs="Arial"/>
          <w:sz w:val="22"/>
          <w:szCs w:val="22"/>
        </w:rPr>
      </w:pPr>
      <w:r>
        <w:rPr>
          <w:rFonts w:cs="Arial"/>
          <w:sz w:val="22"/>
          <w:szCs w:val="22"/>
        </w:rPr>
        <w:t>2.17</w:t>
      </w:r>
      <w:r>
        <w:rPr>
          <w:rFonts w:cs="Arial"/>
          <w:sz w:val="22"/>
          <w:szCs w:val="22"/>
        </w:rPr>
        <w:tab/>
        <w:t>The original rental income figure included a £5m income target from new investments in 2017/18.  It is assumed in the above figures that sufficient properties will be purchased to cover this figure.  The drop in rental income highlighted in table 6 above stems principally from some of the lost income from the properties highlighted at the bottom of the table in A</w:t>
      </w:r>
      <w:r w:rsidR="00D02D7D">
        <w:rPr>
          <w:rFonts w:cs="Arial"/>
          <w:sz w:val="22"/>
          <w:szCs w:val="22"/>
        </w:rPr>
        <w:t>ppendix ‘G’.</w:t>
      </w:r>
    </w:p>
    <w:p w:rsidR="00866D25" w:rsidRDefault="00866D25" w:rsidP="00866D25">
      <w:pPr>
        <w:ind w:left="720" w:hanging="720"/>
        <w:rPr>
          <w:rFonts w:cs="Arial"/>
          <w:sz w:val="22"/>
          <w:szCs w:val="22"/>
        </w:rPr>
      </w:pPr>
      <w:r>
        <w:rPr>
          <w:rFonts w:cs="Arial"/>
          <w:sz w:val="22"/>
          <w:szCs w:val="22"/>
        </w:rPr>
        <w:tab/>
      </w:r>
    </w:p>
    <w:p w:rsidR="00866D25" w:rsidRPr="007B3DE4" w:rsidRDefault="00866D25" w:rsidP="00866D25">
      <w:pPr>
        <w:ind w:left="720" w:hanging="720"/>
        <w:rPr>
          <w:rFonts w:cs="Arial"/>
          <w:b/>
          <w:sz w:val="22"/>
          <w:szCs w:val="22"/>
        </w:rPr>
      </w:pPr>
      <w:r>
        <w:rPr>
          <w:rFonts w:cs="Arial"/>
          <w:b/>
          <w:sz w:val="22"/>
          <w:szCs w:val="22"/>
        </w:rPr>
        <w:t>3</w:t>
      </w:r>
      <w:r>
        <w:rPr>
          <w:rFonts w:cs="Arial"/>
          <w:b/>
          <w:sz w:val="22"/>
          <w:szCs w:val="22"/>
        </w:rPr>
        <w:tab/>
      </w:r>
      <w:r w:rsidRPr="007B3DE4">
        <w:rPr>
          <w:rFonts w:cs="Arial"/>
          <w:b/>
          <w:sz w:val="22"/>
          <w:szCs w:val="22"/>
        </w:rPr>
        <w:t>Housing Revenue Account (HRA)</w:t>
      </w:r>
    </w:p>
    <w:p w:rsidR="00866D25" w:rsidRDefault="00866D25" w:rsidP="00866D25">
      <w:pPr>
        <w:ind w:left="720" w:hanging="720"/>
        <w:rPr>
          <w:rFonts w:cs="Arial"/>
          <w:sz w:val="22"/>
          <w:szCs w:val="22"/>
          <w:u w:val="single"/>
        </w:rPr>
      </w:pPr>
    </w:p>
    <w:p w:rsidR="00866D25" w:rsidRDefault="00866D25" w:rsidP="00866D25">
      <w:pPr>
        <w:ind w:left="720" w:hanging="720"/>
        <w:rPr>
          <w:rFonts w:cs="Arial"/>
          <w:sz w:val="22"/>
          <w:szCs w:val="22"/>
        </w:rPr>
      </w:pPr>
      <w:r>
        <w:rPr>
          <w:rFonts w:cs="Arial"/>
          <w:sz w:val="22"/>
          <w:szCs w:val="22"/>
        </w:rPr>
        <w:t>3.1</w:t>
      </w:r>
      <w:r>
        <w:rPr>
          <w:rFonts w:cs="Arial"/>
          <w:sz w:val="22"/>
          <w:szCs w:val="22"/>
        </w:rPr>
        <w:tab/>
        <w:t>The detailed Housing Revenue Account budget for 2017/18 approved in January 2017 predicted a surplus for the year of £4.358m.   The projected year-end surplus for the HRA is now expected to be £5.018m</w:t>
      </w:r>
      <w:r w:rsidR="00D02D7D">
        <w:rPr>
          <w:rFonts w:cs="Arial"/>
          <w:sz w:val="22"/>
          <w:szCs w:val="22"/>
        </w:rPr>
        <w:t>,</w:t>
      </w:r>
      <w:r>
        <w:rPr>
          <w:rFonts w:cs="Arial"/>
          <w:sz w:val="22"/>
          <w:szCs w:val="22"/>
        </w:rPr>
        <w:t xml:space="preserve"> an increase of £660,000. The more significant variances are listed in table </w:t>
      </w:r>
      <w:r w:rsidR="00D02D7D">
        <w:rPr>
          <w:rFonts w:cs="Arial"/>
          <w:sz w:val="22"/>
          <w:szCs w:val="22"/>
        </w:rPr>
        <w:t>7</w:t>
      </w:r>
      <w:r>
        <w:rPr>
          <w:rFonts w:cs="Arial"/>
          <w:sz w:val="22"/>
          <w:szCs w:val="22"/>
        </w:rPr>
        <w:t xml:space="preserve"> </w:t>
      </w:r>
      <w:r w:rsidR="005C041A">
        <w:rPr>
          <w:rFonts w:cs="Arial"/>
          <w:sz w:val="22"/>
          <w:szCs w:val="22"/>
        </w:rPr>
        <w:t>on the next page</w:t>
      </w:r>
      <w:r>
        <w:rPr>
          <w:rFonts w:cs="Arial"/>
          <w:sz w:val="22"/>
          <w:szCs w:val="22"/>
        </w:rPr>
        <w:t>:</w:t>
      </w:r>
    </w:p>
    <w:p w:rsidR="00866D25" w:rsidRDefault="00866D25" w:rsidP="00866D25">
      <w:pPr>
        <w:tabs>
          <w:tab w:val="left" w:pos="6465"/>
        </w:tabs>
        <w:ind w:left="720" w:hanging="720"/>
        <w:rPr>
          <w:rFonts w:cs="Arial"/>
          <w:sz w:val="22"/>
          <w:szCs w:val="22"/>
        </w:rPr>
      </w:pPr>
      <w:r>
        <w:rPr>
          <w:rFonts w:cs="Arial"/>
          <w:sz w:val="22"/>
          <w:szCs w:val="22"/>
        </w:rPr>
        <w:tab/>
      </w:r>
      <w:r>
        <w:rPr>
          <w:rFonts w:cs="Arial"/>
          <w:sz w:val="22"/>
          <w:szCs w:val="22"/>
        </w:rPr>
        <w:tab/>
      </w:r>
    </w:p>
    <w:tbl>
      <w:tblPr>
        <w:tblW w:w="8211"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51"/>
        <w:gridCol w:w="1560"/>
      </w:tblGrid>
      <w:tr w:rsidR="00866D25" w:rsidTr="00866D25">
        <w:trPr>
          <w:trHeight w:val="255"/>
        </w:trPr>
        <w:tc>
          <w:tcPr>
            <w:tcW w:w="8211"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hideMark/>
          </w:tcPr>
          <w:p w:rsidR="00866D25" w:rsidRDefault="00866D25">
            <w:pPr>
              <w:jc w:val="center"/>
              <w:rPr>
                <w:rFonts w:cs="Arial"/>
                <w:b/>
                <w:sz w:val="22"/>
                <w:szCs w:val="22"/>
                <w:lang w:eastAsia="en-GB"/>
              </w:rPr>
            </w:pPr>
            <w:r>
              <w:rPr>
                <w:rFonts w:cs="Arial"/>
                <w:b/>
                <w:sz w:val="22"/>
                <w:szCs w:val="22"/>
                <w:lang w:eastAsia="en-GB"/>
              </w:rPr>
              <w:t>Tabl</w:t>
            </w:r>
            <w:r>
              <w:rPr>
                <w:rFonts w:cs="Arial"/>
                <w:b/>
                <w:sz w:val="22"/>
                <w:szCs w:val="22"/>
                <w:shd w:val="clear" w:color="auto" w:fill="BFBFBF" w:themeFill="background1" w:themeFillShade="BF"/>
                <w:lang w:eastAsia="en-GB"/>
              </w:rPr>
              <w:t>e 7 – Predicted HRA surplus for 2017/18</w:t>
            </w: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tcPr>
          <w:p w:rsidR="00866D25" w:rsidRDefault="00866D25">
            <w:pPr>
              <w:tabs>
                <w:tab w:val="left" w:pos="522"/>
              </w:tabs>
              <w:ind w:left="162"/>
              <w:rPr>
                <w:rStyle w:val="endsenrhsennumparatext"/>
                <w:rFonts w:cs="Arial"/>
                <w:b/>
                <w:sz w:val="22"/>
                <w:szCs w:val="22"/>
                <w:lang w:val="en"/>
              </w:rPr>
            </w:pPr>
          </w:p>
        </w:tc>
        <w:tc>
          <w:tcPr>
            <w:tcW w:w="1560" w:type="dxa"/>
            <w:tcBorders>
              <w:top w:val="dotted" w:sz="4" w:space="0" w:color="auto"/>
              <w:left w:val="dotted" w:sz="4" w:space="0" w:color="auto"/>
              <w:bottom w:val="dotted" w:sz="4" w:space="0" w:color="auto"/>
              <w:right w:val="dotted" w:sz="4" w:space="0" w:color="auto"/>
            </w:tcBorders>
            <w:noWrap/>
            <w:hideMark/>
          </w:tcPr>
          <w:p w:rsidR="00866D25" w:rsidRDefault="00866D25">
            <w:pPr>
              <w:jc w:val="center"/>
              <w:rPr>
                <w:rFonts w:cs="Arial"/>
                <w:b/>
                <w:sz w:val="22"/>
                <w:szCs w:val="22"/>
                <w:lang w:eastAsia="en-GB"/>
              </w:rPr>
            </w:pPr>
            <w:r>
              <w:rPr>
                <w:rFonts w:cs="Arial"/>
                <w:b/>
                <w:sz w:val="22"/>
                <w:szCs w:val="22"/>
                <w:lang w:eastAsia="en-GB"/>
              </w:rPr>
              <w:t>2017/18</w:t>
            </w:r>
          </w:p>
          <w:p w:rsidR="00866D25" w:rsidRDefault="00866D25">
            <w:pPr>
              <w:jc w:val="center"/>
              <w:rPr>
                <w:rFonts w:cs="Arial"/>
                <w:sz w:val="22"/>
                <w:szCs w:val="22"/>
              </w:rPr>
            </w:pPr>
            <w:r>
              <w:rPr>
                <w:rFonts w:cs="Arial"/>
                <w:b/>
                <w:sz w:val="22"/>
                <w:szCs w:val="22"/>
                <w:lang w:eastAsia="en-GB"/>
              </w:rPr>
              <w:lastRenderedPageBreak/>
              <w:t>£’000</w:t>
            </w: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162"/>
              <w:rPr>
                <w:rStyle w:val="endsenrhsennumparatext"/>
                <w:rFonts w:cs="Arial"/>
                <w:b/>
                <w:sz w:val="22"/>
                <w:szCs w:val="22"/>
                <w:lang w:val="en"/>
              </w:rPr>
            </w:pPr>
            <w:r>
              <w:rPr>
                <w:rStyle w:val="endsenrhsennumparatext"/>
                <w:rFonts w:cs="Arial"/>
                <w:b/>
                <w:sz w:val="22"/>
                <w:szCs w:val="22"/>
                <w:lang w:val="en"/>
              </w:rPr>
              <w:lastRenderedPageBreak/>
              <w:t>Original estimated (Surplus) / Deficit in the year:</w:t>
            </w:r>
          </w:p>
        </w:tc>
        <w:tc>
          <w:tcPr>
            <w:tcW w:w="1560"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b/>
                <w:sz w:val="22"/>
                <w:szCs w:val="22"/>
                <w:lang w:eastAsia="en-GB"/>
              </w:rPr>
            </w:pPr>
            <w:r>
              <w:rPr>
                <w:rFonts w:cs="Arial"/>
                <w:b/>
                <w:sz w:val="22"/>
                <w:szCs w:val="22"/>
                <w:lang w:eastAsia="en-GB"/>
              </w:rPr>
              <w:t>(4,358)</w:t>
            </w: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tcPr>
          <w:p w:rsidR="00866D25" w:rsidRDefault="00866D25">
            <w:pPr>
              <w:tabs>
                <w:tab w:val="left" w:pos="522"/>
              </w:tabs>
              <w:ind w:left="162"/>
              <w:rPr>
                <w:rStyle w:val="endsenrhsennumparatext"/>
                <w:rFonts w:cs="Arial"/>
                <w:sz w:val="22"/>
                <w:szCs w:val="22"/>
                <w:highlight w:val="yellow"/>
                <w:lang w:val="en"/>
              </w:rPr>
            </w:pPr>
          </w:p>
        </w:tc>
        <w:tc>
          <w:tcPr>
            <w:tcW w:w="1560" w:type="dxa"/>
            <w:tcBorders>
              <w:top w:val="dotted" w:sz="4" w:space="0" w:color="auto"/>
              <w:left w:val="dotted" w:sz="4" w:space="0" w:color="auto"/>
              <w:bottom w:val="dotted" w:sz="4" w:space="0" w:color="auto"/>
              <w:right w:val="dotted" w:sz="4" w:space="0" w:color="auto"/>
            </w:tcBorders>
            <w:noWrap/>
          </w:tcPr>
          <w:p w:rsidR="00866D25" w:rsidRDefault="00866D25">
            <w:pPr>
              <w:jc w:val="right"/>
              <w:rPr>
                <w:rFonts w:cs="Arial"/>
                <w:sz w:val="22"/>
                <w:szCs w:val="22"/>
                <w:highlight w:val="yellow"/>
                <w:lang w:eastAsia="en-GB"/>
              </w:rPr>
            </w:pP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162"/>
              <w:rPr>
                <w:rStyle w:val="endsenrhsennumparatext"/>
                <w:rFonts w:cs="Arial"/>
                <w:b/>
                <w:sz w:val="22"/>
                <w:szCs w:val="22"/>
                <w:lang w:val="en"/>
              </w:rPr>
            </w:pPr>
            <w:r>
              <w:rPr>
                <w:rStyle w:val="endsenrhsennumparatext"/>
                <w:rFonts w:cs="Arial"/>
                <w:b/>
                <w:sz w:val="22"/>
                <w:szCs w:val="22"/>
                <w:lang w:val="en"/>
              </w:rPr>
              <w:t>General Management</w:t>
            </w:r>
          </w:p>
        </w:tc>
        <w:tc>
          <w:tcPr>
            <w:tcW w:w="1560" w:type="dxa"/>
            <w:tcBorders>
              <w:top w:val="dotted" w:sz="4" w:space="0" w:color="auto"/>
              <w:left w:val="dotted" w:sz="4" w:space="0" w:color="auto"/>
              <w:bottom w:val="dotted" w:sz="4" w:space="0" w:color="auto"/>
              <w:right w:val="dotted" w:sz="4" w:space="0" w:color="auto"/>
            </w:tcBorders>
            <w:noWrap/>
          </w:tcPr>
          <w:p w:rsidR="00866D25" w:rsidRDefault="00866D25">
            <w:pPr>
              <w:jc w:val="right"/>
              <w:rPr>
                <w:rFonts w:cs="Arial"/>
                <w:sz w:val="22"/>
                <w:szCs w:val="22"/>
                <w:lang w:eastAsia="en-GB"/>
              </w:rPr>
            </w:pP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866D25" w:rsidRPr="00866D25" w:rsidRDefault="00866D25" w:rsidP="00866D25">
            <w:pPr>
              <w:pStyle w:val="ListParagraph"/>
              <w:numPr>
                <w:ilvl w:val="0"/>
                <w:numId w:val="33"/>
              </w:numPr>
              <w:spacing w:after="0" w:line="240" w:lineRule="auto"/>
              <w:ind w:left="590" w:hanging="425"/>
              <w:rPr>
                <w:rStyle w:val="endsenrhsennumparatext"/>
                <w:rFonts w:ascii="Arial" w:hAnsi="Arial" w:cs="Arial"/>
                <w:lang w:val="en"/>
              </w:rPr>
            </w:pPr>
            <w:r w:rsidRPr="00866D25">
              <w:rPr>
                <w:rStyle w:val="endsenrhsennumparatext"/>
                <w:rFonts w:ascii="Arial" w:hAnsi="Arial" w:cs="Arial"/>
                <w:lang w:val="en"/>
              </w:rPr>
              <w:t>Planned underspends brought forward from 2016/17</w:t>
            </w:r>
          </w:p>
        </w:tc>
        <w:tc>
          <w:tcPr>
            <w:tcW w:w="1560"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sz w:val="22"/>
                <w:szCs w:val="22"/>
                <w:lang w:eastAsia="en-GB"/>
              </w:rPr>
            </w:pPr>
            <w:r>
              <w:rPr>
                <w:rFonts w:cs="Arial"/>
                <w:sz w:val="22"/>
                <w:szCs w:val="22"/>
                <w:lang w:eastAsia="en-GB"/>
              </w:rPr>
              <w:t>23</w:t>
            </w: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rsidP="00866D25">
            <w:pPr>
              <w:pStyle w:val="ListParagraph"/>
              <w:numPr>
                <w:ilvl w:val="0"/>
                <w:numId w:val="33"/>
              </w:numPr>
              <w:spacing w:after="0" w:line="240" w:lineRule="auto"/>
              <w:ind w:left="590" w:hanging="425"/>
              <w:rPr>
                <w:rStyle w:val="endsenrhsennumparatext"/>
                <w:rFonts w:ascii="Arial" w:hAnsi="Arial" w:cs="Arial"/>
                <w:lang w:val="en"/>
              </w:rPr>
            </w:pPr>
            <w:r>
              <w:rPr>
                <w:rFonts w:ascii="Arial" w:hAnsi="Arial" w:cs="Arial"/>
              </w:rPr>
              <w:t>Additional Housing Options staff -20%  (Hsg Ctte 3/17)</w:t>
            </w:r>
          </w:p>
        </w:tc>
        <w:tc>
          <w:tcPr>
            <w:tcW w:w="1560"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sz w:val="22"/>
                <w:szCs w:val="22"/>
                <w:lang w:eastAsia="en-GB"/>
              </w:rPr>
            </w:pPr>
            <w:r>
              <w:rPr>
                <w:rFonts w:cs="Arial"/>
                <w:sz w:val="22"/>
                <w:szCs w:val="22"/>
                <w:lang w:eastAsia="en-GB"/>
              </w:rPr>
              <w:t>10</w:t>
            </w: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pStyle w:val="ListParagraph"/>
              <w:tabs>
                <w:tab w:val="left" w:pos="448"/>
              </w:tabs>
              <w:ind w:left="165"/>
              <w:rPr>
                <w:rStyle w:val="endsenrhsennumparatext"/>
                <w:rFonts w:ascii="Arial" w:hAnsi="Arial" w:cs="Arial"/>
                <w:lang w:val="en"/>
              </w:rPr>
            </w:pPr>
            <w:r>
              <w:rPr>
                <w:rStyle w:val="endsenrhsennumparatext"/>
                <w:rFonts w:cs="Arial"/>
                <w:b/>
                <w:lang w:val="en"/>
              </w:rPr>
              <w:t>Major Repairs Reserve</w:t>
            </w:r>
          </w:p>
        </w:tc>
        <w:tc>
          <w:tcPr>
            <w:tcW w:w="1560" w:type="dxa"/>
            <w:tcBorders>
              <w:top w:val="dotted" w:sz="4" w:space="0" w:color="auto"/>
              <w:left w:val="dotted" w:sz="4" w:space="0" w:color="auto"/>
              <w:bottom w:val="dotted" w:sz="4" w:space="0" w:color="auto"/>
              <w:right w:val="dotted" w:sz="4" w:space="0" w:color="auto"/>
            </w:tcBorders>
            <w:noWrap/>
          </w:tcPr>
          <w:p w:rsidR="00866D25" w:rsidRDefault="00866D25">
            <w:pPr>
              <w:jc w:val="right"/>
              <w:rPr>
                <w:rFonts w:cs="Arial"/>
                <w:b/>
                <w:sz w:val="22"/>
                <w:szCs w:val="22"/>
                <w:lang w:eastAsia="en-GB"/>
              </w:rPr>
            </w:pP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866D25" w:rsidRPr="00866D25" w:rsidRDefault="00866D25" w:rsidP="00866D25">
            <w:pPr>
              <w:pStyle w:val="ListParagraph"/>
              <w:numPr>
                <w:ilvl w:val="0"/>
                <w:numId w:val="34"/>
              </w:numPr>
              <w:spacing w:after="0" w:line="240" w:lineRule="auto"/>
              <w:ind w:left="590" w:hanging="425"/>
              <w:rPr>
                <w:rStyle w:val="endsenrhsennumparatext"/>
                <w:rFonts w:ascii="Arial" w:hAnsi="Arial" w:cs="Arial"/>
                <w:lang w:val="en"/>
              </w:rPr>
            </w:pPr>
            <w:r w:rsidRPr="00866D25">
              <w:rPr>
                <w:rStyle w:val="endsenrhsennumparatext"/>
                <w:rFonts w:ascii="Arial" w:hAnsi="Arial" w:cs="Arial"/>
                <w:lang w:val="en"/>
              </w:rPr>
              <w:t xml:space="preserve">Slippage in Farm Close re-provision will reduce expenditure during 2017/18 </w:t>
            </w:r>
          </w:p>
        </w:tc>
        <w:tc>
          <w:tcPr>
            <w:tcW w:w="1560" w:type="dxa"/>
            <w:tcBorders>
              <w:top w:val="dotted" w:sz="4" w:space="0" w:color="auto"/>
              <w:left w:val="dotted" w:sz="4" w:space="0" w:color="auto"/>
              <w:bottom w:val="dotted" w:sz="4" w:space="0" w:color="auto"/>
              <w:right w:val="dotted" w:sz="4" w:space="0" w:color="auto"/>
            </w:tcBorders>
            <w:noWrap/>
          </w:tcPr>
          <w:p w:rsidR="00866D25" w:rsidRDefault="00866D25">
            <w:pPr>
              <w:jc w:val="right"/>
              <w:rPr>
                <w:rFonts w:cs="Arial"/>
                <w:sz w:val="22"/>
                <w:szCs w:val="22"/>
                <w:lang w:eastAsia="en-GB"/>
              </w:rPr>
            </w:pPr>
            <w:r>
              <w:rPr>
                <w:rFonts w:cs="Arial"/>
                <w:sz w:val="22"/>
                <w:szCs w:val="22"/>
                <w:lang w:eastAsia="en-GB"/>
              </w:rPr>
              <w:t>(367)</w:t>
            </w:r>
          </w:p>
          <w:p w:rsidR="00866D25" w:rsidRDefault="00866D25">
            <w:pPr>
              <w:jc w:val="right"/>
              <w:rPr>
                <w:rFonts w:cs="Arial"/>
                <w:sz w:val="22"/>
                <w:szCs w:val="22"/>
                <w:lang w:eastAsia="en-GB"/>
              </w:rPr>
            </w:pP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866D25" w:rsidRPr="00866D25" w:rsidRDefault="00866D25" w:rsidP="00866D25">
            <w:pPr>
              <w:pStyle w:val="ListParagraph"/>
              <w:numPr>
                <w:ilvl w:val="0"/>
                <w:numId w:val="34"/>
              </w:numPr>
              <w:spacing w:after="0" w:line="240" w:lineRule="auto"/>
              <w:ind w:left="590" w:hanging="425"/>
              <w:rPr>
                <w:rStyle w:val="endsenrhsennumparatext"/>
                <w:rFonts w:ascii="Arial" w:hAnsi="Arial" w:cs="Arial"/>
                <w:lang w:val="en"/>
              </w:rPr>
            </w:pPr>
            <w:r w:rsidRPr="00866D25">
              <w:rPr>
                <w:rStyle w:val="endsenrhsennumparatext"/>
                <w:rFonts w:ascii="Arial" w:hAnsi="Arial" w:cs="Arial"/>
                <w:lang w:val="en"/>
              </w:rPr>
              <w:t>Increased opening balance at 1/4/17 means full cost of works can be funded from MRR, thereby reducing cost on HRA balances</w:t>
            </w:r>
          </w:p>
        </w:tc>
        <w:tc>
          <w:tcPr>
            <w:tcW w:w="1560"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sz w:val="22"/>
                <w:szCs w:val="22"/>
                <w:lang w:eastAsia="en-GB"/>
              </w:rPr>
            </w:pPr>
            <w:r>
              <w:rPr>
                <w:rFonts w:cs="Arial"/>
                <w:sz w:val="22"/>
                <w:szCs w:val="22"/>
                <w:lang w:eastAsia="en-GB"/>
              </w:rPr>
              <w:t>(326)</w:t>
            </w:r>
          </w:p>
        </w:tc>
      </w:tr>
      <w:tr w:rsidR="00866D25" w:rsidTr="00866D25">
        <w:trPr>
          <w:trHeight w:val="255"/>
        </w:trPr>
        <w:tc>
          <w:tcPr>
            <w:tcW w:w="6651" w:type="dxa"/>
            <w:tcBorders>
              <w:top w:val="dotted" w:sz="4" w:space="0" w:color="auto"/>
              <w:left w:val="dotted" w:sz="4" w:space="0" w:color="auto"/>
              <w:bottom w:val="dotted" w:sz="4" w:space="0" w:color="auto"/>
              <w:right w:val="dotted" w:sz="4" w:space="0" w:color="auto"/>
            </w:tcBorders>
            <w:noWrap/>
            <w:vAlign w:val="bottom"/>
            <w:hideMark/>
          </w:tcPr>
          <w:p w:rsidR="00866D25" w:rsidRPr="00866D25" w:rsidRDefault="00866D25">
            <w:pPr>
              <w:pStyle w:val="ListParagraph"/>
              <w:ind w:left="165"/>
              <w:rPr>
                <w:rStyle w:val="endsenrhsennumparatext"/>
                <w:rFonts w:ascii="Arial" w:hAnsi="Arial" w:cs="Arial"/>
                <w:b/>
                <w:lang w:val="en"/>
              </w:rPr>
            </w:pPr>
            <w:r w:rsidRPr="00866D25">
              <w:rPr>
                <w:rStyle w:val="endsenrhsennumparatext"/>
                <w:rFonts w:ascii="Arial" w:hAnsi="Arial" w:cs="Arial"/>
                <w:b/>
                <w:lang w:val="en"/>
              </w:rPr>
              <w:t>Projected (surplus) / Deficit in the year:</w:t>
            </w:r>
          </w:p>
        </w:tc>
        <w:tc>
          <w:tcPr>
            <w:tcW w:w="1560"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b/>
                <w:sz w:val="22"/>
                <w:szCs w:val="22"/>
                <w:lang w:eastAsia="en-GB"/>
              </w:rPr>
            </w:pPr>
            <w:r>
              <w:rPr>
                <w:rFonts w:cs="Arial"/>
                <w:b/>
                <w:sz w:val="22"/>
                <w:szCs w:val="22"/>
                <w:lang w:eastAsia="en-GB"/>
              </w:rPr>
              <w:t>(5,018)</w:t>
            </w:r>
          </w:p>
        </w:tc>
      </w:tr>
    </w:tbl>
    <w:p w:rsidR="00866D25" w:rsidRDefault="00866D25" w:rsidP="00866D25">
      <w:pPr>
        <w:ind w:left="720" w:hanging="720"/>
        <w:rPr>
          <w:rFonts w:cs="Arial"/>
          <w:sz w:val="22"/>
          <w:szCs w:val="22"/>
          <w:highlight w:val="yellow"/>
        </w:rPr>
      </w:pPr>
    </w:p>
    <w:p w:rsidR="00866D25" w:rsidRDefault="00866D25" w:rsidP="00866D25">
      <w:pPr>
        <w:ind w:left="709" w:hanging="709"/>
        <w:rPr>
          <w:rFonts w:cs="Arial"/>
          <w:sz w:val="22"/>
          <w:szCs w:val="22"/>
        </w:rPr>
      </w:pPr>
      <w:r>
        <w:rPr>
          <w:rFonts w:cs="Arial"/>
          <w:sz w:val="22"/>
          <w:szCs w:val="22"/>
        </w:rPr>
        <w:t>3.2</w:t>
      </w:r>
      <w:r>
        <w:rPr>
          <w:rFonts w:cs="Arial"/>
          <w:sz w:val="22"/>
          <w:szCs w:val="22"/>
        </w:rPr>
        <w:tab/>
        <w:t xml:space="preserve">Taking into account the better than expected increase in working balances during 2016/17 of £1.155m, and large reductions in the Housing Capital programme (slippage and developing plans) during 2017/18 it is estimated assuming the predictions for the projected outturn shown in table 7 materialise at the year end. This will result in a probable increase in the HRA revenue balances from the original estimate of £15.77m at 31 March 2018 to £19.1m. However it should be noted that the likely costs in 2018/19 will increase by around £2.2m as a consequence of the deferral of the provision of new houses. </w:t>
      </w:r>
    </w:p>
    <w:p w:rsidR="00866D25" w:rsidRDefault="00866D25" w:rsidP="00866D25">
      <w:pPr>
        <w:ind w:left="720" w:hanging="720"/>
        <w:rPr>
          <w:rFonts w:cs="Arial"/>
          <w:sz w:val="22"/>
          <w:szCs w:val="22"/>
        </w:rPr>
      </w:pPr>
    </w:p>
    <w:p w:rsidR="00866D25" w:rsidRDefault="00866D25" w:rsidP="00866D25">
      <w:pPr>
        <w:ind w:left="720" w:hanging="720"/>
        <w:rPr>
          <w:rFonts w:cs="Arial"/>
          <w:b/>
          <w:sz w:val="22"/>
          <w:szCs w:val="22"/>
        </w:rPr>
      </w:pPr>
      <w:r>
        <w:rPr>
          <w:rFonts w:cs="Arial"/>
          <w:b/>
          <w:sz w:val="22"/>
          <w:szCs w:val="22"/>
        </w:rPr>
        <w:t>4</w:t>
      </w:r>
      <w:r>
        <w:rPr>
          <w:rFonts w:cs="Arial"/>
          <w:b/>
          <w:sz w:val="22"/>
          <w:szCs w:val="22"/>
        </w:rPr>
        <w:tab/>
        <w:t>Capital Expenditure and Receipts</w:t>
      </w:r>
    </w:p>
    <w:p w:rsidR="00866D25" w:rsidRDefault="00866D25" w:rsidP="00866D25">
      <w:pPr>
        <w:ind w:left="720" w:hanging="720"/>
        <w:rPr>
          <w:rFonts w:cs="Arial"/>
          <w:sz w:val="22"/>
          <w:szCs w:val="22"/>
        </w:rPr>
      </w:pPr>
    </w:p>
    <w:p w:rsidR="00866D25" w:rsidRDefault="00866D25" w:rsidP="00866D25">
      <w:pPr>
        <w:ind w:left="720" w:hanging="720"/>
        <w:rPr>
          <w:rFonts w:cs="Arial"/>
          <w:sz w:val="22"/>
          <w:szCs w:val="22"/>
          <w:u w:val="single"/>
        </w:rPr>
      </w:pPr>
      <w:r>
        <w:rPr>
          <w:rFonts w:cs="Arial"/>
          <w:sz w:val="22"/>
          <w:szCs w:val="22"/>
        </w:rPr>
        <w:tab/>
      </w:r>
      <w:r>
        <w:rPr>
          <w:rFonts w:cs="Arial"/>
          <w:sz w:val="22"/>
          <w:szCs w:val="22"/>
          <w:u w:val="single"/>
        </w:rPr>
        <w:t>Capital expenditure</w:t>
      </w:r>
    </w:p>
    <w:p w:rsidR="00866D25" w:rsidRDefault="00866D25" w:rsidP="00866D25">
      <w:pPr>
        <w:ind w:left="720" w:hanging="720"/>
        <w:rPr>
          <w:rFonts w:cs="Arial"/>
          <w:sz w:val="22"/>
          <w:szCs w:val="22"/>
        </w:rPr>
      </w:pPr>
    </w:p>
    <w:p w:rsidR="00866D25" w:rsidRDefault="00866D25" w:rsidP="00866D25">
      <w:pPr>
        <w:ind w:left="720" w:hanging="720"/>
        <w:rPr>
          <w:rFonts w:cs="Arial"/>
          <w:sz w:val="22"/>
          <w:szCs w:val="22"/>
        </w:rPr>
      </w:pPr>
      <w:r>
        <w:rPr>
          <w:rFonts w:cs="Arial"/>
          <w:sz w:val="22"/>
          <w:szCs w:val="22"/>
        </w:rPr>
        <w:t>4.1</w:t>
      </w:r>
      <w:r>
        <w:rPr>
          <w:rFonts w:cs="Arial"/>
          <w:sz w:val="22"/>
          <w:szCs w:val="22"/>
        </w:rPr>
        <w:tab/>
        <w:t xml:space="preserve">The detailed Capital budget for 2017/18 was approved in February 2017.  It is important to remember that the timing of capital expenditure can sometimes be difficult to predict and can be spread over several financial years.  </w:t>
      </w:r>
    </w:p>
    <w:p w:rsidR="00866D25" w:rsidRDefault="00866D25" w:rsidP="00866D25">
      <w:pPr>
        <w:ind w:left="720" w:hanging="720"/>
        <w:rPr>
          <w:rFonts w:cs="Arial"/>
          <w:sz w:val="22"/>
          <w:szCs w:val="22"/>
        </w:rPr>
      </w:pPr>
    </w:p>
    <w:p w:rsidR="00866D25" w:rsidRDefault="00866D25" w:rsidP="00866D25">
      <w:pPr>
        <w:ind w:left="720" w:hanging="720"/>
        <w:rPr>
          <w:rFonts w:cs="Arial"/>
          <w:sz w:val="22"/>
          <w:szCs w:val="22"/>
        </w:rPr>
      </w:pPr>
      <w:r>
        <w:rPr>
          <w:rFonts w:cs="Arial"/>
          <w:sz w:val="22"/>
          <w:szCs w:val="22"/>
        </w:rPr>
        <w:t>4.2</w:t>
      </w:r>
      <w:r>
        <w:rPr>
          <w:rFonts w:cs="Arial"/>
          <w:sz w:val="22"/>
          <w:szCs w:val="22"/>
        </w:rPr>
        <w:tab/>
        <w:t>A</w:t>
      </w:r>
      <w:r w:rsidR="00D02D7D">
        <w:rPr>
          <w:rFonts w:cs="Arial"/>
          <w:sz w:val="22"/>
          <w:szCs w:val="22"/>
        </w:rPr>
        <w:t xml:space="preserve">ppendix ‘H’ </w:t>
      </w:r>
      <w:r>
        <w:rPr>
          <w:rFonts w:cs="Arial"/>
          <w:sz w:val="22"/>
          <w:szCs w:val="22"/>
        </w:rPr>
        <w:t>summarises the current capital programme to the end of September 2017 updated for predicted movements in payment profiles and forecast under/overspends on the schemes as a whole.  Of the £11.5m increase in the programme shown in the A</w:t>
      </w:r>
      <w:r w:rsidR="00D02D7D">
        <w:rPr>
          <w:rFonts w:cs="Arial"/>
          <w:sz w:val="22"/>
          <w:szCs w:val="22"/>
        </w:rPr>
        <w:t>ppendix</w:t>
      </w:r>
      <w:r>
        <w:rPr>
          <w:rFonts w:cs="Arial"/>
          <w:sz w:val="22"/>
          <w:szCs w:val="22"/>
        </w:rPr>
        <w:t xml:space="preserve">, £9m relates to budgets that have been carried forward from 2017/18 where schemes and or payments were delayed. </w:t>
      </w:r>
    </w:p>
    <w:p w:rsidR="00866D25" w:rsidRDefault="00866D25" w:rsidP="00866D25">
      <w:pPr>
        <w:ind w:left="720" w:hanging="720"/>
        <w:rPr>
          <w:rFonts w:cs="Arial"/>
          <w:sz w:val="22"/>
          <w:szCs w:val="22"/>
          <w:highlight w:val="yellow"/>
        </w:rPr>
      </w:pPr>
    </w:p>
    <w:p w:rsidR="00866D25" w:rsidRDefault="00866D25" w:rsidP="00866D25">
      <w:pPr>
        <w:ind w:left="720" w:hanging="720"/>
        <w:rPr>
          <w:rFonts w:cs="Arial"/>
          <w:sz w:val="22"/>
          <w:szCs w:val="22"/>
          <w:u w:val="single"/>
        </w:rPr>
      </w:pPr>
      <w:r>
        <w:rPr>
          <w:rFonts w:cs="Arial"/>
          <w:sz w:val="22"/>
          <w:szCs w:val="22"/>
        </w:rPr>
        <w:tab/>
      </w:r>
      <w:r>
        <w:rPr>
          <w:rFonts w:cs="Arial"/>
          <w:sz w:val="22"/>
          <w:szCs w:val="22"/>
          <w:u w:val="single"/>
        </w:rPr>
        <w:t>Capital receipts</w:t>
      </w:r>
    </w:p>
    <w:p w:rsidR="00866D25" w:rsidRDefault="00866D25" w:rsidP="00866D25">
      <w:pPr>
        <w:ind w:left="720" w:hanging="720"/>
        <w:rPr>
          <w:rFonts w:cs="Arial"/>
          <w:sz w:val="22"/>
          <w:szCs w:val="22"/>
          <w:highlight w:val="yellow"/>
        </w:rPr>
      </w:pPr>
    </w:p>
    <w:p w:rsidR="00866D25" w:rsidRDefault="00866D25" w:rsidP="00866D25">
      <w:pPr>
        <w:ind w:left="709" w:hanging="709"/>
        <w:jc w:val="both"/>
        <w:rPr>
          <w:rFonts w:cs="Arial"/>
          <w:sz w:val="22"/>
          <w:szCs w:val="22"/>
        </w:rPr>
      </w:pPr>
      <w:r>
        <w:rPr>
          <w:rFonts w:cs="Arial"/>
          <w:sz w:val="22"/>
          <w:szCs w:val="22"/>
        </w:rPr>
        <w:t>4.3</w:t>
      </w:r>
      <w:r>
        <w:rPr>
          <w:rFonts w:cs="Arial"/>
          <w:sz w:val="22"/>
          <w:szCs w:val="22"/>
        </w:rPr>
        <w:tab/>
        <w:t>The Council started the year with £14.281m in available capital receipts which can be used to fund future acquisition of assets. However, some of these receipts have been generated from the sale of dwellings under right-to-buy legislation or sales of land and legislation requires this is set aside for specific purposes.  In Runnymede’s case this is principally:</w:t>
      </w:r>
    </w:p>
    <w:p w:rsidR="00866D25" w:rsidRDefault="00866D25" w:rsidP="00866D25">
      <w:pPr>
        <w:ind w:left="709" w:hanging="709"/>
        <w:jc w:val="both"/>
        <w:rPr>
          <w:rFonts w:cs="Arial"/>
          <w:sz w:val="22"/>
          <w:szCs w:val="22"/>
        </w:rPr>
      </w:pPr>
    </w:p>
    <w:p w:rsidR="00866D25" w:rsidRDefault="00866D25" w:rsidP="00866D25">
      <w:pPr>
        <w:ind w:left="1418" w:hanging="283"/>
        <w:jc w:val="both"/>
        <w:rPr>
          <w:rFonts w:cs="Arial"/>
          <w:sz w:val="22"/>
          <w:szCs w:val="22"/>
        </w:rPr>
      </w:pPr>
      <w:r>
        <w:rPr>
          <w:rFonts w:cs="Arial"/>
          <w:sz w:val="22"/>
          <w:szCs w:val="22"/>
        </w:rPr>
        <w:t>•</w:t>
      </w:r>
      <w:r>
        <w:rPr>
          <w:rFonts w:cs="Arial"/>
          <w:sz w:val="22"/>
          <w:szCs w:val="22"/>
        </w:rPr>
        <w:tab/>
        <w:t>Future funding of new affordable housing</w:t>
      </w:r>
    </w:p>
    <w:p w:rsidR="00866D25" w:rsidRDefault="00866D25" w:rsidP="00866D25">
      <w:pPr>
        <w:ind w:left="1418" w:hanging="283"/>
        <w:jc w:val="both"/>
        <w:rPr>
          <w:rFonts w:cs="Arial"/>
          <w:sz w:val="22"/>
          <w:szCs w:val="22"/>
        </w:rPr>
      </w:pPr>
      <w:r>
        <w:rPr>
          <w:rFonts w:cs="Arial"/>
          <w:sz w:val="22"/>
          <w:szCs w:val="22"/>
        </w:rPr>
        <w:t>•</w:t>
      </w:r>
      <w:r>
        <w:rPr>
          <w:rFonts w:cs="Arial"/>
          <w:sz w:val="22"/>
          <w:szCs w:val="22"/>
        </w:rPr>
        <w:tab/>
        <w:t>Repayment of housing debt over the next 30 years</w:t>
      </w:r>
    </w:p>
    <w:p w:rsidR="00866D25" w:rsidRDefault="00866D25" w:rsidP="00866D25">
      <w:pPr>
        <w:ind w:left="1418" w:hanging="283"/>
        <w:jc w:val="both"/>
        <w:rPr>
          <w:rFonts w:cs="Arial"/>
          <w:sz w:val="22"/>
          <w:szCs w:val="22"/>
        </w:rPr>
      </w:pPr>
    </w:p>
    <w:p w:rsidR="00866D25" w:rsidRDefault="00866D25" w:rsidP="00866D25">
      <w:pPr>
        <w:ind w:left="720" w:hanging="720"/>
        <w:rPr>
          <w:rFonts w:cs="Arial"/>
          <w:sz w:val="22"/>
          <w:szCs w:val="22"/>
        </w:rPr>
      </w:pPr>
      <w:r>
        <w:rPr>
          <w:rFonts w:cs="Arial"/>
          <w:sz w:val="22"/>
          <w:szCs w:val="22"/>
        </w:rPr>
        <w:t>4.4</w:t>
      </w:r>
      <w:r>
        <w:rPr>
          <w:rFonts w:cs="Arial"/>
          <w:sz w:val="22"/>
          <w:szCs w:val="22"/>
        </w:rPr>
        <w:tab/>
        <w:t xml:space="preserve">Table </w:t>
      </w:r>
      <w:r w:rsidR="00D02D7D">
        <w:rPr>
          <w:rFonts w:cs="Arial"/>
          <w:sz w:val="22"/>
          <w:szCs w:val="22"/>
        </w:rPr>
        <w:t>8</w:t>
      </w:r>
      <w:r>
        <w:rPr>
          <w:rFonts w:cs="Arial"/>
          <w:sz w:val="22"/>
          <w:szCs w:val="22"/>
        </w:rPr>
        <w:t xml:space="preserve"> sets out the anticipated capital receipts position as at the 31 March 2018 based on the current forecast outturn in capital spend and receipts as set out in A</w:t>
      </w:r>
      <w:r w:rsidR="00D02D7D">
        <w:rPr>
          <w:rFonts w:cs="Arial"/>
          <w:sz w:val="22"/>
          <w:szCs w:val="22"/>
        </w:rPr>
        <w:t>ppendix ‘H’</w:t>
      </w:r>
      <w:r>
        <w:rPr>
          <w:rFonts w:cs="Arial"/>
          <w:sz w:val="22"/>
          <w:szCs w:val="22"/>
        </w:rPr>
        <w:t>:</w:t>
      </w:r>
    </w:p>
    <w:p w:rsidR="007B3DE4" w:rsidRDefault="007B3DE4" w:rsidP="00866D25">
      <w:pPr>
        <w:ind w:left="720" w:hanging="720"/>
        <w:rPr>
          <w:rFonts w:cs="Arial"/>
          <w:sz w:val="22"/>
          <w:szCs w:val="22"/>
        </w:rPr>
      </w:pPr>
    </w:p>
    <w:p w:rsidR="007B3DE4" w:rsidRDefault="007B3DE4" w:rsidP="00866D25">
      <w:pPr>
        <w:ind w:left="720" w:hanging="720"/>
        <w:rPr>
          <w:rFonts w:cs="Arial"/>
          <w:sz w:val="22"/>
          <w:szCs w:val="22"/>
        </w:rPr>
      </w:pPr>
    </w:p>
    <w:p w:rsidR="007B3DE4" w:rsidRDefault="007B3DE4" w:rsidP="00866D25">
      <w:pPr>
        <w:ind w:left="720" w:hanging="720"/>
        <w:rPr>
          <w:rFonts w:cs="Arial"/>
          <w:sz w:val="22"/>
          <w:szCs w:val="22"/>
        </w:rPr>
      </w:pPr>
    </w:p>
    <w:p w:rsidR="007B3DE4" w:rsidRDefault="007B3DE4" w:rsidP="00866D25">
      <w:pPr>
        <w:ind w:left="720" w:hanging="720"/>
        <w:rPr>
          <w:rFonts w:cs="Arial"/>
          <w:sz w:val="22"/>
          <w:szCs w:val="22"/>
        </w:rPr>
      </w:pPr>
    </w:p>
    <w:p w:rsidR="00866D25" w:rsidRDefault="00866D25" w:rsidP="00866D25">
      <w:pPr>
        <w:ind w:left="720" w:hanging="720"/>
        <w:rPr>
          <w:rFonts w:cs="Arial"/>
          <w:sz w:val="22"/>
          <w:szCs w:val="22"/>
          <w:highlight w:val="yellow"/>
        </w:rPr>
      </w:pPr>
    </w:p>
    <w:tbl>
      <w:tblPr>
        <w:tblW w:w="903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75"/>
        <w:gridCol w:w="1559"/>
        <w:gridCol w:w="1559"/>
        <w:gridCol w:w="1134"/>
        <w:gridCol w:w="1103"/>
      </w:tblGrid>
      <w:tr w:rsidR="00866D25" w:rsidTr="007B3DE4">
        <w:trPr>
          <w:trHeight w:val="255"/>
        </w:trPr>
        <w:tc>
          <w:tcPr>
            <w:tcW w:w="9030"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hideMark/>
          </w:tcPr>
          <w:p w:rsidR="00866D25" w:rsidRDefault="00866D25">
            <w:pPr>
              <w:jc w:val="center"/>
              <w:rPr>
                <w:rFonts w:cs="Arial"/>
                <w:b/>
                <w:sz w:val="22"/>
                <w:szCs w:val="22"/>
                <w:highlight w:val="yellow"/>
                <w:lang w:eastAsia="en-GB"/>
              </w:rPr>
            </w:pPr>
            <w:r>
              <w:rPr>
                <w:rFonts w:cs="Arial"/>
                <w:b/>
                <w:sz w:val="22"/>
                <w:szCs w:val="22"/>
                <w:lang w:eastAsia="en-GB"/>
              </w:rPr>
              <w:t>Table 8 – Capital receipts</w:t>
            </w:r>
          </w:p>
        </w:tc>
      </w:tr>
      <w:tr w:rsidR="00866D25" w:rsidTr="007B3DE4">
        <w:trPr>
          <w:trHeight w:val="255"/>
        </w:trPr>
        <w:tc>
          <w:tcPr>
            <w:tcW w:w="3675" w:type="dxa"/>
            <w:tcBorders>
              <w:top w:val="dotted" w:sz="4" w:space="0" w:color="auto"/>
              <w:left w:val="dotted" w:sz="4" w:space="0" w:color="auto"/>
              <w:bottom w:val="dotted" w:sz="4" w:space="0" w:color="auto"/>
              <w:right w:val="dotted" w:sz="4" w:space="0" w:color="auto"/>
            </w:tcBorders>
            <w:noWrap/>
            <w:vAlign w:val="bottom"/>
          </w:tcPr>
          <w:p w:rsidR="00866D25" w:rsidRDefault="00866D25">
            <w:pPr>
              <w:tabs>
                <w:tab w:val="left" w:pos="522"/>
              </w:tabs>
              <w:ind w:left="162"/>
              <w:rPr>
                <w:rStyle w:val="endsenrhsennumparatext"/>
                <w:rFonts w:cs="Arial"/>
                <w:b/>
                <w:sz w:val="22"/>
                <w:szCs w:val="22"/>
                <w:lang w:val="en"/>
              </w:rPr>
            </w:pPr>
          </w:p>
        </w:tc>
        <w:tc>
          <w:tcPr>
            <w:tcW w:w="1559" w:type="dxa"/>
            <w:tcBorders>
              <w:top w:val="dotted" w:sz="4" w:space="0" w:color="auto"/>
              <w:left w:val="dotted" w:sz="4" w:space="0" w:color="auto"/>
              <w:bottom w:val="dotted" w:sz="4" w:space="0" w:color="auto"/>
              <w:right w:val="dotted" w:sz="4" w:space="0" w:color="auto"/>
            </w:tcBorders>
            <w:noWrap/>
            <w:hideMark/>
          </w:tcPr>
          <w:p w:rsidR="00866D25" w:rsidRDefault="00866D25">
            <w:pPr>
              <w:jc w:val="center"/>
              <w:rPr>
                <w:rFonts w:cs="Arial"/>
                <w:b/>
                <w:sz w:val="22"/>
                <w:szCs w:val="22"/>
                <w:lang w:eastAsia="en-GB"/>
              </w:rPr>
            </w:pPr>
            <w:r>
              <w:rPr>
                <w:rFonts w:cs="Arial"/>
                <w:b/>
                <w:sz w:val="22"/>
                <w:szCs w:val="22"/>
                <w:lang w:eastAsia="en-GB"/>
              </w:rPr>
              <w:t xml:space="preserve">Debt </w:t>
            </w:r>
            <w:r>
              <w:rPr>
                <w:rFonts w:cs="Arial"/>
                <w:b/>
                <w:sz w:val="22"/>
                <w:szCs w:val="22"/>
                <w:lang w:eastAsia="en-GB"/>
              </w:rPr>
              <w:lastRenderedPageBreak/>
              <w:t>Repayment</w:t>
            </w:r>
          </w:p>
          <w:p w:rsidR="00866D25" w:rsidRDefault="00866D25">
            <w:pPr>
              <w:jc w:val="center"/>
              <w:rPr>
                <w:rFonts w:cs="Arial"/>
                <w:sz w:val="22"/>
                <w:szCs w:val="22"/>
              </w:rPr>
            </w:pPr>
            <w:r>
              <w:rPr>
                <w:rFonts w:cs="Arial"/>
                <w:b/>
                <w:sz w:val="22"/>
                <w:szCs w:val="22"/>
                <w:lang w:eastAsia="en-GB"/>
              </w:rPr>
              <w:t>£’000</w:t>
            </w:r>
          </w:p>
        </w:tc>
        <w:tc>
          <w:tcPr>
            <w:tcW w:w="1559" w:type="dxa"/>
            <w:tcBorders>
              <w:top w:val="dotted" w:sz="4" w:space="0" w:color="auto"/>
              <w:left w:val="dotted" w:sz="4" w:space="0" w:color="auto"/>
              <w:bottom w:val="dotted" w:sz="4" w:space="0" w:color="auto"/>
              <w:right w:val="dotted" w:sz="4" w:space="0" w:color="auto"/>
            </w:tcBorders>
            <w:hideMark/>
          </w:tcPr>
          <w:p w:rsidR="00866D25" w:rsidRDefault="00866D25">
            <w:pPr>
              <w:jc w:val="center"/>
              <w:rPr>
                <w:rFonts w:cs="Arial"/>
                <w:b/>
                <w:sz w:val="22"/>
                <w:szCs w:val="22"/>
                <w:lang w:eastAsia="en-GB"/>
              </w:rPr>
            </w:pPr>
            <w:r>
              <w:rPr>
                <w:rFonts w:cs="Arial"/>
                <w:b/>
                <w:sz w:val="22"/>
                <w:szCs w:val="22"/>
                <w:lang w:eastAsia="en-GB"/>
              </w:rPr>
              <w:lastRenderedPageBreak/>
              <w:t xml:space="preserve">Housing </w:t>
            </w:r>
            <w:r>
              <w:rPr>
                <w:rFonts w:cs="Arial"/>
                <w:b/>
                <w:sz w:val="22"/>
                <w:szCs w:val="22"/>
                <w:lang w:eastAsia="en-GB"/>
              </w:rPr>
              <w:lastRenderedPageBreak/>
              <w:t>replacement</w:t>
            </w:r>
          </w:p>
          <w:p w:rsidR="00866D25" w:rsidRDefault="00866D25">
            <w:pPr>
              <w:jc w:val="center"/>
              <w:rPr>
                <w:rFonts w:cs="Arial"/>
                <w:b/>
                <w:sz w:val="22"/>
                <w:szCs w:val="22"/>
                <w:lang w:eastAsia="en-GB"/>
              </w:rPr>
            </w:pPr>
            <w:r>
              <w:rPr>
                <w:rFonts w:cs="Arial"/>
                <w:b/>
                <w:sz w:val="22"/>
                <w:szCs w:val="22"/>
                <w:lang w:eastAsia="en-GB"/>
              </w:rPr>
              <w:t>£’000</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center"/>
              <w:rPr>
                <w:rFonts w:cs="Arial"/>
                <w:b/>
                <w:sz w:val="22"/>
                <w:szCs w:val="22"/>
                <w:lang w:eastAsia="en-GB"/>
              </w:rPr>
            </w:pPr>
            <w:r>
              <w:rPr>
                <w:rFonts w:cs="Arial"/>
                <w:b/>
                <w:sz w:val="22"/>
                <w:szCs w:val="22"/>
                <w:lang w:eastAsia="en-GB"/>
              </w:rPr>
              <w:lastRenderedPageBreak/>
              <w:t xml:space="preserve">General </w:t>
            </w:r>
            <w:r>
              <w:rPr>
                <w:rFonts w:cs="Arial"/>
                <w:b/>
                <w:sz w:val="22"/>
                <w:szCs w:val="22"/>
                <w:lang w:eastAsia="en-GB"/>
              </w:rPr>
              <w:lastRenderedPageBreak/>
              <w:t>use</w:t>
            </w:r>
          </w:p>
          <w:p w:rsidR="00866D25" w:rsidRDefault="00866D25">
            <w:pPr>
              <w:tabs>
                <w:tab w:val="center" w:pos="413"/>
              </w:tabs>
              <w:rPr>
                <w:rFonts w:cs="Arial"/>
                <w:b/>
                <w:sz w:val="22"/>
                <w:szCs w:val="22"/>
                <w:lang w:eastAsia="en-GB"/>
              </w:rPr>
            </w:pPr>
            <w:r>
              <w:rPr>
                <w:rFonts w:cs="Arial"/>
                <w:b/>
                <w:sz w:val="22"/>
                <w:szCs w:val="22"/>
                <w:lang w:eastAsia="en-GB"/>
              </w:rPr>
              <w:tab/>
              <w:t>£’000</w:t>
            </w:r>
          </w:p>
        </w:tc>
        <w:tc>
          <w:tcPr>
            <w:tcW w:w="1103" w:type="dxa"/>
            <w:tcBorders>
              <w:top w:val="dotted" w:sz="4" w:space="0" w:color="auto"/>
              <w:left w:val="dotted" w:sz="4" w:space="0" w:color="auto"/>
              <w:bottom w:val="dotted" w:sz="4" w:space="0" w:color="auto"/>
              <w:right w:val="dotted" w:sz="4" w:space="0" w:color="auto"/>
            </w:tcBorders>
            <w:noWrap/>
            <w:hideMark/>
          </w:tcPr>
          <w:p w:rsidR="00866D25" w:rsidRDefault="00866D25">
            <w:pPr>
              <w:jc w:val="center"/>
              <w:rPr>
                <w:rFonts w:cs="Arial"/>
                <w:b/>
                <w:sz w:val="22"/>
                <w:szCs w:val="22"/>
                <w:lang w:eastAsia="en-GB"/>
              </w:rPr>
            </w:pPr>
            <w:r>
              <w:rPr>
                <w:rFonts w:cs="Arial"/>
                <w:b/>
                <w:sz w:val="22"/>
                <w:szCs w:val="22"/>
                <w:lang w:eastAsia="en-GB"/>
              </w:rPr>
              <w:lastRenderedPageBreak/>
              <w:t>Total</w:t>
            </w:r>
          </w:p>
          <w:p w:rsidR="00866D25" w:rsidRDefault="00866D25">
            <w:pPr>
              <w:jc w:val="center"/>
              <w:rPr>
                <w:rFonts w:cs="Arial"/>
                <w:b/>
                <w:sz w:val="22"/>
                <w:szCs w:val="22"/>
                <w:lang w:eastAsia="en-GB"/>
              </w:rPr>
            </w:pPr>
            <w:r>
              <w:rPr>
                <w:rFonts w:cs="Arial"/>
                <w:b/>
                <w:sz w:val="22"/>
                <w:szCs w:val="22"/>
                <w:lang w:eastAsia="en-GB"/>
              </w:rPr>
              <w:lastRenderedPageBreak/>
              <w:t>Receipts</w:t>
            </w:r>
          </w:p>
          <w:p w:rsidR="00866D25" w:rsidRDefault="00866D25">
            <w:pPr>
              <w:jc w:val="center"/>
              <w:rPr>
                <w:rFonts w:cs="Arial"/>
                <w:b/>
                <w:sz w:val="22"/>
                <w:szCs w:val="22"/>
                <w:lang w:eastAsia="en-GB"/>
              </w:rPr>
            </w:pPr>
            <w:r>
              <w:rPr>
                <w:rFonts w:cs="Arial"/>
                <w:b/>
                <w:sz w:val="22"/>
                <w:szCs w:val="22"/>
                <w:lang w:eastAsia="en-GB"/>
              </w:rPr>
              <w:t>£’000</w:t>
            </w:r>
          </w:p>
        </w:tc>
      </w:tr>
      <w:tr w:rsidR="00866D25" w:rsidTr="007B3DE4">
        <w:trPr>
          <w:trHeight w:val="255"/>
        </w:trPr>
        <w:tc>
          <w:tcPr>
            <w:tcW w:w="3675"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162"/>
              <w:rPr>
                <w:rStyle w:val="endsenrhsennumparatext"/>
                <w:rFonts w:cs="Arial"/>
                <w:b/>
                <w:sz w:val="22"/>
                <w:szCs w:val="22"/>
                <w:lang w:val="en"/>
              </w:rPr>
            </w:pPr>
            <w:r>
              <w:rPr>
                <w:rStyle w:val="endsenrhsennumparatext"/>
                <w:rFonts w:cs="Arial"/>
                <w:b/>
                <w:sz w:val="22"/>
                <w:szCs w:val="22"/>
                <w:lang w:val="en"/>
              </w:rPr>
              <w:lastRenderedPageBreak/>
              <w:t>Total Capital Receipts at 1 April 2017</w:t>
            </w:r>
          </w:p>
        </w:tc>
        <w:tc>
          <w:tcPr>
            <w:tcW w:w="1559"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b/>
                <w:sz w:val="22"/>
                <w:szCs w:val="22"/>
                <w:lang w:eastAsia="en-GB"/>
              </w:rPr>
            </w:pPr>
            <w:r>
              <w:rPr>
                <w:rFonts w:cs="Arial"/>
                <w:b/>
                <w:sz w:val="22"/>
                <w:szCs w:val="22"/>
                <w:lang w:eastAsia="en-GB"/>
              </w:rPr>
              <w:t>2,142</w:t>
            </w:r>
          </w:p>
        </w:tc>
        <w:tc>
          <w:tcPr>
            <w:tcW w:w="1559"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b/>
                <w:sz w:val="22"/>
                <w:szCs w:val="22"/>
                <w:lang w:eastAsia="en-GB"/>
              </w:rPr>
            </w:pPr>
            <w:r>
              <w:rPr>
                <w:rFonts w:cs="Arial"/>
                <w:b/>
                <w:sz w:val="22"/>
                <w:szCs w:val="22"/>
                <w:lang w:eastAsia="en-GB"/>
              </w:rPr>
              <w:t>3,178</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b/>
                <w:sz w:val="22"/>
                <w:szCs w:val="22"/>
                <w:lang w:eastAsia="en-GB"/>
              </w:rPr>
            </w:pPr>
            <w:r>
              <w:rPr>
                <w:rFonts w:cs="Arial"/>
                <w:b/>
                <w:sz w:val="22"/>
                <w:szCs w:val="22"/>
                <w:lang w:eastAsia="en-GB"/>
              </w:rPr>
              <w:t>8,961</w:t>
            </w:r>
          </w:p>
        </w:tc>
        <w:tc>
          <w:tcPr>
            <w:tcW w:w="1103"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b/>
                <w:sz w:val="22"/>
                <w:szCs w:val="22"/>
                <w:lang w:eastAsia="en-GB"/>
              </w:rPr>
            </w:pPr>
            <w:r>
              <w:rPr>
                <w:rFonts w:cs="Arial"/>
                <w:b/>
                <w:sz w:val="22"/>
                <w:szCs w:val="22"/>
                <w:lang w:eastAsia="en-GB"/>
              </w:rPr>
              <w:t>14,281</w:t>
            </w:r>
          </w:p>
        </w:tc>
      </w:tr>
      <w:tr w:rsidR="00866D25" w:rsidTr="007B3DE4">
        <w:trPr>
          <w:trHeight w:val="255"/>
        </w:trPr>
        <w:tc>
          <w:tcPr>
            <w:tcW w:w="3675"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Capital Receipts generated in the Year</w:t>
            </w:r>
          </w:p>
        </w:tc>
        <w:tc>
          <w:tcPr>
            <w:tcW w:w="1559"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sz w:val="22"/>
                <w:szCs w:val="22"/>
                <w:lang w:eastAsia="en-GB"/>
              </w:rPr>
            </w:pPr>
            <w:r>
              <w:rPr>
                <w:rFonts w:cs="Arial"/>
                <w:sz w:val="22"/>
                <w:szCs w:val="22"/>
                <w:lang w:eastAsia="en-GB"/>
              </w:rPr>
              <w:t>394</w:t>
            </w:r>
          </w:p>
        </w:tc>
        <w:tc>
          <w:tcPr>
            <w:tcW w:w="1559"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lang w:eastAsia="en-GB"/>
              </w:rPr>
            </w:pPr>
            <w:r>
              <w:rPr>
                <w:rFonts w:cs="Arial"/>
                <w:sz w:val="22"/>
                <w:szCs w:val="22"/>
                <w:lang w:eastAsia="en-GB"/>
              </w:rPr>
              <w:t>910</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lang w:eastAsia="en-GB"/>
              </w:rPr>
            </w:pPr>
            <w:r>
              <w:rPr>
                <w:rFonts w:cs="Arial"/>
                <w:sz w:val="22"/>
                <w:szCs w:val="22"/>
                <w:lang w:eastAsia="en-GB"/>
              </w:rPr>
              <w:t>48,840</w:t>
            </w:r>
          </w:p>
        </w:tc>
        <w:tc>
          <w:tcPr>
            <w:tcW w:w="1103"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b/>
                <w:sz w:val="22"/>
                <w:szCs w:val="22"/>
                <w:lang w:eastAsia="en-GB"/>
              </w:rPr>
            </w:pPr>
            <w:r>
              <w:rPr>
                <w:rFonts w:cs="Arial"/>
                <w:b/>
                <w:sz w:val="22"/>
                <w:szCs w:val="22"/>
                <w:lang w:eastAsia="en-GB"/>
              </w:rPr>
              <w:t>50,144</w:t>
            </w:r>
          </w:p>
        </w:tc>
      </w:tr>
      <w:tr w:rsidR="00866D25" w:rsidTr="007B3DE4">
        <w:trPr>
          <w:trHeight w:val="255"/>
        </w:trPr>
        <w:tc>
          <w:tcPr>
            <w:tcW w:w="3675"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162"/>
              <w:rPr>
                <w:rStyle w:val="endsenrhsennumparatext"/>
                <w:rFonts w:cs="Arial"/>
                <w:sz w:val="22"/>
                <w:szCs w:val="22"/>
                <w:lang w:val="en"/>
              </w:rPr>
            </w:pPr>
            <w:r>
              <w:rPr>
                <w:rStyle w:val="endsenrhsennumparatext"/>
                <w:rFonts w:cs="Arial"/>
                <w:sz w:val="22"/>
                <w:szCs w:val="22"/>
                <w:lang w:val="en"/>
              </w:rPr>
              <w:t>Use of Receipts in year</w:t>
            </w:r>
          </w:p>
        </w:tc>
        <w:tc>
          <w:tcPr>
            <w:tcW w:w="1559"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sz w:val="22"/>
                <w:szCs w:val="22"/>
                <w:lang w:eastAsia="en-GB"/>
              </w:rPr>
            </w:pPr>
            <w:r>
              <w:rPr>
                <w:rFonts w:cs="Arial"/>
                <w:sz w:val="22"/>
                <w:szCs w:val="22"/>
                <w:lang w:eastAsia="en-GB"/>
              </w:rPr>
              <w:t>0</w:t>
            </w:r>
          </w:p>
        </w:tc>
        <w:tc>
          <w:tcPr>
            <w:tcW w:w="1559"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highlight w:val="yellow"/>
                <w:lang w:eastAsia="en-GB"/>
              </w:rPr>
            </w:pPr>
            <w:r>
              <w:rPr>
                <w:rFonts w:cs="Arial"/>
                <w:sz w:val="22"/>
                <w:szCs w:val="22"/>
                <w:lang w:eastAsia="en-GB"/>
              </w:rPr>
              <w:t>(1,368)</w:t>
            </w:r>
          </w:p>
        </w:tc>
        <w:tc>
          <w:tcPr>
            <w:tcW w:w="1134" w:type="dxa"/>
            <w:tcBorders>
              <w:top w:val="dotted" w:sz="4" w:space="0" w:color="auto"/>
              <w:left w:val="dotted" w:sz="4" w:space="0" w:color="auto"/>
              <w:bottom w:val="dotted" w:sz="4" w:space="0" w:color="auto"/>
              <w:right w:val="dotted" w:sz="4" w:space="0" w:color="auto"/>
            </w:tcBorders>
            <w:hideMark/>
          </w:tcPr>
          <w:p w:rsidR="00866D25" w:rsidRDefault="00866D25">
            <w:pPr>
              <w:jc w:val="right"/>
              <w:rPr>
                <w:rFonts w:cs="Arial"/>
                <w:sz w:val="22"/>
                <w:szCs w:val="22"/>
                <w:lang w:eastAsia="en-GB"/>
              </w:rPr>
            </w:pPr>
            <w:r>
              <w:rPr>
                <w:rFonts w:cs="Arial"/>
                <w:sz w:val="22"/>
                <w:szCs w:val="22"/>
                <w:lang w:eastAsia="en-GB"/>
              </w:rPr>
              <w:t>(48,284)</w:t>
            </w:r>
          </w:p>
        </w:tc>
        <w:tc>
          <w:tcPr>
            <w:tcW w:w="1103" w:type="dxa"/>
            <w:tcBorders>
              <w:top w:val="dotted" w:sz="4" w:space="0" w:color="auto"/>
              <w:left w:val="dotted" w:sz="4" w:space="0" w:color="auto"/>
              <w:bottom w:val="dotted" w:sz="4" w:space="0" w:color="auto"/>
              <w:right w:val="dotted" w:sz="4" w:space="0" w:color="auto"/>
            </w:tcBorders>
            <w:noWrap/>
            <w:hideMark/>
          </w:tcPr>
          <w:p w:rsidR="00866D25" w:rsidRDefault="00866D25">
            <w:pPr>
              <w:jc w:val="right"/>
              <w:rPr>
                <w:rFonts w:cs="Arial"/>
                <w:b/>
                <w:sz w:val="22"/>
                <w:szCs w:val="22"/>
                <w:lang w:eastAsia="en-GB"/>
              </w:rPr>
            </w:pPr>
            <w:r>
              <w:rPr>
                <w:rFonts w:cs="Arial"/>
                <w:b/>
                <w:sz w:val="22"/>
                <w:szCs w:val="22"/>
                <w:lang w:eastAsia="en-GB"/>
              </w:rPr>
              <w:t>(49,652)</w:t>
            </w:r>
          </w:p>
        </w:tc>
      </w:tr>
      <w:tr w:rsidR="00866D25" w:rsidTr="007B3DE4">
        <w:trPr>
          <w:trHeight w:val="255"/>
        </w:trPr>
        <w:tc>
          <w:tcPr>
            <w:tcW w:w="3675" w:type="dxa"/>
            <w:tcBorders>
              <w:top w:val="dotted" w:sz="4" w:space="0" w:color="auto"/>
              <w:left w:val="dotted" w:sz="4" w:space="0" w:color="auto"/>
              <w:bottom w:val="dotted" w:sz="4" w:space="0" w:color="auto"/>
              <w:right w:val="dotted" w:sz="4" w:space="0" w:color="auto"/>
            </w:tcBorders>
            <w:noWrap/>
            <w:vAlign w:val="bottom"/>
          </w:tcPr>
          <w:p w:rsidR="00866D25" w:rsidRDefault="00866D25">
            <w:pPr>
              <w:tabs>
                <w:tab w:val="left" w:pos="522"/>
              </w:tabs>
              <w:ind w:left="162"/>
              <w:rPr>
                <w:rStyle w:val="endsenrhsennumparatext"/>
                <w:rFonts w:cs="Arial"/>
                <w:sz w:val="22"/>
                <w:szCs w:val="22"/>
                <w:lang w:val="en"/>
              </w:rPr>
            </w:pPr>
          </w:p>
        </w:tc>
        <w:tc>
          <w:tcPr>
            <w:tcW w:w="1559" w:type="dxa"/>
            <w:tcBorders>
              <w:top w:val="dotted" w:sz="4" w:space="0" w:color="auto"/>
              <w:left w:val="dotted" w:sz="4" w:space="0" w:color="auto"/>
              <w:bottom w:val="dotted" w:sz="4" w:space="0" w:color="auto"/>
              <w:right w:val="dotted" w:sz="4" w:space="0" w:color="auto"/>
            </w:tcBorders>
            <w:noWrap/>
          </w:tcPr>
          <w:p w:rsidR="00866D25" w:rsidRDefault="00866D25">
            <w:pPr>
              <w:jc w:val="right"/>
              <w:rPr>
                <w:rFonts w:cs="Arial"/>
                <w:sz w:val="22"/>
                <w:szCs w:val="22"/>
                <w:lang w:eastAsia="en-GB"/>
              </w:rPr>
            </w:pPr>
          </w:p>
        </w:tc>
        <w:tc>
          <w:tcPr>
            <w:tcW w:w="1559" w:type="dxa"/>
            <w:tcBorders>
              <w:top w:val="dotted" w:sz="4" w:space="0" w:color="auto"/>
              <w:left w:val="dotted" w:sz="4" w:space="0" w:color="auto"/>
              <w:bottom w:val="single" w:sz="4" w:space="0" w:color="auto"/>
              <w:right w:val="dotted" w:sz="4" w:space="0" w:color="auto"/>
            </w:tcBorders>
          </w:tcPr>
          <w:p w:rsidR="00866D25" w:rsidRDefault="00866D25">
            <w:pPr>
              <w:jc w:val="right"/>
              <w:rPr>
                <w:rFonts w:cs="Arial"/>
                <w:sz w:val="22"/>
                <w:szCs w:val="22"/>
                <w:highlight w:val="yellow"/>
                <w:lang w:eastAsia="en-GB"/>
              </w:rPr>
            </w:pPr>
          </w:p>
        </w:tc>
        <w:tc>
          <w:tcPr>
            <w:tcW w:w="1134" w:type="dxa"/>
            <w:tcBorders>
              <w:top w:val="dotted" w:sz="4" w:space="0" w:color="auto"/>
              <w:left w:val="dotted" w:sz="4" w:space="0" w:color="auto"/>
              <w:bottom w:val="single" w:sz="4" w:space="0" w:color="auto"/>
              <w:right w:val="dotted" w:sz="4" w:space="0" w:color="auto"/>
            </w:tcBorders>
          </w:tcPr>
          <w:p w:rsidR="00866D25" w:rsidRDefault="00866D25">
            <w:pPr>
              <w:jc w:val="right"/>
              <w:rPr>
                <w:rFonts w:cs="Arial"/>
                <w:sz w:val="22"/>
                <w:szCs w:val="22"/>
                <w:lang w:eastAsia="en-GB"/>
              </w:rPr>
            </w:pPr>
          </w:p>
        </w:tc>
        <w:tc>
          <w:tcPr>
            <w:tcW w:w="1103" w:type="dxa"/>
            <w:tcBorders>
              <w:top w:val="dotted" w:sz="4" w:space="0" w:color="auto"/>
              <w:left w:val="dotted" w:sz="4" w:space="0" w:color="auto"/>
              <w:bottom w:val="single" w:sz="4" w:space="0" w:color="auto"/>
              <w:right w:val="dotted" w:sz="4" w:space="0" w:color="auto"/>
            </w:tcBorders>
            <w:noWrap/>
          </w:tcPr>
          <w:p w:rsidR="00866D25" w:rsidRDefault="00866D25">
            <w:pPr>
              <w:jc w:val="right"/>
              <w:rPr>
                <w:rFonts w:cs="Arial"/>
                <w:b/>
                <w:sz w:val="22"/>
                <w:szCs w:val="22"/>
                <w:lang w:eastAsia="en-GB"/>
              </w:rPr>
            </w:pPr>
          </w:p>
        </w:tc>
      </w:tr>
      <w:tr w:rsidR="00866D25" w:rsidTr="007B3DE4">
        <w:trPr>
          <w:trHeight w:val="255"/>
        </w:trPr>
        <w:tc>
          <w:tcPr>
            <w:tcW w:w="3675" w:type="dxa"/>
            <w:tcBorders>
              <w:top w:val="dotted" w:sz="4" w:space="0" w:color="auto"/>
              <w:left w:val="dotted" w:sz="4" w:space="0" w:color="auto"/>
              <w:bottom w:val="dotted" w:sz="4" w:space="0" w:color="auto"/>
              <w:right w:val="dotted" w:sz="4" w:space="0" w:color="auto"/>
            </w:tcBorders>
            <w:noWrap/>
            <w:vAlign w:val="bottom"/>
            <w:hideMark/>
          </w:tcPr>
          <w:p w:rsidR="00866D25" w:rsidRDefault="00866D25">
            <w:pPr>
              <w:tabs>
                <w:tab w:val="left" w:pos="522"/>
              </w:tabs>
              <w:ind w:left="162"/>
              <w:rPr>
                <w:rStyle w:val="endsenrhsennumparatext"/>
                <w:rFonts w:cs="Arial"/>
                <w:b/>
                <w:sz w:val="22"/>
                <w:szCs w:val="22"/>
                <w:lang w:val="en"/>
              </w:rPr>
            </w:pPr>
            <w:r>
              <w:rPr>
                <w:rStyle w:val="endsenrhsennumparatext"/>
                <w:rFonts w:cs="Arial"/>
                <w:b/>
                <w:sz w:val="22"/>
                <w:szCs w:val="22"/>
                <w:lang w:val="en"/>
              </w:rPr>
              <w:t>Projected Receipts at 31 March 2018</w:t>
            </w:r>
          </w:p>
        </w:tc>
        <w:tc>
          <w:tcPr>
            <w:tcW w:w="1559" w:type="dxa"/>
            <w:tcBorders>
              <w:top w:val="single" w:sz="4" w:space="0" w:color="auto"/>
              <w:left w:val="dotted" w:sz="4" w:space="0" w:color="auto"/>
              <w:bottom w:val="single" w:sz="4" w:space="0" w:color="auto"/>
              <w:right w:val="dotted" w:sz="4" w:space="0" w:color="auto"/>
            </w:tcBorders>
            <w:noWrap/>
            <w:hideMark/>
          </w:tcPr>
          <w:p w:rsidR="00866D25" w:rsidRDefault="00866D25">
            <w:pPr>
              <w:jc w:val="right"/>
              <w:rPr>
                <w:rFonts w:cs="Arial"/>
                <w:b/>
                <w:sz w:val="22"/>
                <w:szCs w:val="22"/>
                <w:lang w:eastAsia="en-GB"/>
              </w:rPr>
            </w:pPr>
            <w:r>
              <w:rPr>
                <w:rFonts w:cs="Arial"/>
                <w:b/>
                <w:sz w:val="22"/>
                <w:szCs w:val="22"/>
                <w:lang w:eastAsia="en-GB"/>
              </w:rPr>
              <w:t>2,536</w:t>
            </w:r>
          </w:p>
        </w:tc>
        <w:tc>
          <w:tcPr>
            <w:tcW w:w="1559" w:type="dxa"/>
            <w:tcBorders>
              <w:top w:val="single" w:sz="4" w:space="0" w:color="auto"/>
              <w:left w:val="dotted" w:sz="4" w:space="0" w:color="auto"/>
              <w:bottom w:val="single" w:sz="4" w:space="0" w:color="auto"/>
              <w:right w:val="dotted" w:sz="4" w:space="0" w:color="auto"/>
            </w:tcBorders>
            <w:hideMark/>
          </w:tcPr>
          <w:p w:rsidR="00866D25" w:rsidRDefault="00866D25">
            <w:pPr>
              <w:jc w:val="right"/>
              <w:rPr>
                <w:rFonts w:cs="Arial"/>
                <w:b/>
                <w:sz w:val="22"/>
                <w:szCs w:val="22"/>
                <w:highlight w:val="yellow"/>
                <w:lang w:eastAsia="en-GB"/>
              </w:rPr>
            </w:pPr>
            <w:r>
              <w:rPr>
                <w:rFonts w:cs="Arial"/>
                <w:b/>
                <w:sz w:val="22"/>
                <w:szCs w:val="22"/>
                <w:lang w:eastAsia="en-GB"/>
              </w:rPr>
              <w:t>2,720</w:t>
            </w:r>
          </w:p>
        </w:tc>
        <w:tc>
          <w:tcPr>
            <w:tcW w:w="1134" w:type="dxa"/>
            <w:tcBorders>
              <w:top w:val="single" w:sz="4" w:space="0" w:color="auto"/>
              <w:left w:val="dotted" w:sz="4" w:space="0" w:color="auto"/>
              <w:bottom w:val="single" w:sz="4" w:space="0" w:color="auto"/>
              <w:right w:val="dotted" w:sz="4" w:space="0" w:color="auto"/>
            </w:tcBorders>
            <w:hideMark/>
          </w:tcPr>
          <w:p w:rsidR="00866D25" w:rsidRDefault="00866D25">
            <w:pPr>
              <w:jc w:val="right"/>
              <w:rPr>
                <w:rFonts w:cs="Arial"/>
                <w:b/>
                <w:sz w:val="22"/>
                <w:szCs w:val="22"/>
                <w:lang w:eastAsia="en-GB"/>
              </w:rPr>
            </w:pPr>
            <w:r>
              <w:rPr>
                <w:rFonts w:cs="Arial"/>
                <w:b/>
                <w:sz w:val="22"/>
                <w:szCs w:val="22"/>
                <w:lang w:eastAsia="en-GB"/>
              </w:rPr>
              <w:t>9,517</w:t>
            </w:r>
          </w:p>
        </w:tc>
        <w:tc>
          <w:tcPr>
            <w:tcW w:w="1103" w:type="dxa"/>
            <w:tcBorders>
              <w:top w:val="single" w:sz="4" w:space="0" w:color="auto"/>
              <w:left w:val="dotted" w:sz="4" w:space="0" w:color="auto"/>
              <w:bottom w:val="single" w:sz="4" w:space="0" w:color="auto"/>
              <w:right w:val="dotted" w:sz="4" w:space="0" w:color="auto"/>
            </w:tcBorders>
            <w:noWrap/>
            <w:hideMark/>
          </w:tcPr>
          <w:p w:rsidR="00866D25" w:rsidRDefault="00866D25">
            <w:pPr>
              <w:jc w:val="right"/>
              <w:rPr>
                <w:rFonts w:cs="Arial"/>
                <w:b/>
                <w:sz w:val="22"/>
                <w:szCs w:val="22"/>
                <w:lang w:eastAsia="en-GB"/>
              </w:rPr>
            </w:pPr>
            <w:r>
              <w:rPr>
                <w:rFonts w:cs="Arial"/>
                <w:b/>
                <w:sz w:val="22"/>
                <w:szCs w:val="22"/>
                <w:lang w:eastAsia="en-GB"/>
              </w:rPr>
              <w:t>14,773</w:t>
            </w:r>
          </w:p>
        </w:tc>
      </w:tr>
    </w:tbl>
    <w:p w:rsidR="00866D25" w:rsidRDefault="00866D25" w:rsidP="00866D25">
      <w:pPr>
        <w:ind w:left="720" w:hanging="720"/>
        <w:rPr>
          <w:rFonts w:cs="Arial"/>
          <w:sz w:val="22"/>
          <w:szCs w:val="22"/>
        </w:rPr>
      </w:pPr>
    </w:p>
    <w:p w:rsidR="00866D25" w:rsidRDefault="00866D25" w:rsidP="00866D25">
      <w:pPr>
        <w:ind w:left="720" w:hanging="720"/>
        <w:rPr>
          <w:rFonts w:cs="Arial"/>
          <w:sz w:val="22"/>
          <w:szCs w:val="22"/>
        </w:rPr>
      </w:pPr>
      <w:r>
        <w:rPr>
          <w:rFonts w:cs="Arial"/>
          <w:sz w:val="22"/>
          <w:szCs w:val="22"/>
        </w:rPr>
        <w:t>4.5</w:t>
      </w:r>
      <w:r>
        <w:rPr>
          <w:rFonts w:cs="Arial"/>
          <w:sz w:val="22"/>
          <w:szCs w:val="22"/>
        </w:rPr>
        <w:tab/>
        <w:t xml:space="preserve">The original estimate for the generation of Capital Receipts in the year included £15m from the sale of properties in the Addlestone One development.  As at 30 September no income from sales had been received however just under £2m worth of sales had been negotiated.  Should a substantial increase in sales activity not be forthcoming over the next few months, it will be necessary to delay some capital schemes and/or temporarily borrow more money to fund the Addlestone development. </w:t>
      </w:r>
    </w:p>
    <w:p w:rsidR="00866D25" w:rsidRDefault="00866D25" w:rsidP="00866D25">
      <w:pPr>
        <w:ind w:left="720" w:hanging="720"/>
        <w:rPr>
          <w:rFonts w:cs="Arial"/>
          <w:b/>
          <w:sz w:val="22"/>
          <w:szCs w:val="22"/>
        </w:rPr>
      </w:pPr>
    </w:p>
    <w:p w:rsidR="00866D25" w:rsidRPr="00D02D7D" w:rsidRDefault="00866D25" w:rsidP="00866D25">
      <w:pPr>
        <w:ind w:left="720" w:hanging="720"/>
        <w:rPr>
          <w:rFonts w:cs="Arial"/>
          <w:b/>
          <w:sz w:val="22"/>
          <w:szCs w:val="22"/>
        </w:rPr>
      </w:pPr>
      <w:r w:rsidRPr="00D02D7D">
        <w:rPr>
          <w:rFonts w:cs="Arial"/>
          <w:sz w:val="22"/>
          <w:szCs w:val="22"/>
        </w:rPr>
        <w:t>5</w:t>
      </w:r>
      <w:r w:rsidR="00D02D7D">
        <w:rPr>
          <w:rFonts w:cs="Arial"/>
          <w:sz w:val="22"/>
          <w:szCs w:val="22"/>
        </w:rPr>
        <w:t>.</w:t>
      </w:r>
      <w:r>
        <w:rPr>
          <w:rFonts w:cs="Arial"/>
          <w:sz w:val="22"/>
          <w:szCs w:val="22"/>
        </w:rPr>
        <w:tab/>
      </w:r>
      <w:r w:rsidRPr="00D02D7D">
        <w:rPr>
          <w:rFonts w:cs="Arial"/>
          <w:b/>
          <w:sz w:val="22"/>
          <w:szCs w:val="22"/>
        </w:rPr>
        <w:t>Legal Implications</w:t>
      </w:r>
    </w:p>
    <w:p w:rsidR="00866D25" w:rsidRDefault="00866D25" w:rsidP="00866D25">
      <w:pPr>
        <w:ind w:left="720" w:hanging="720"/>
        <w:rPr>
          <w:rFonts w:cs="Arial"/>
          <w:sz w:val="22"/>
          <w:szCs w:val="22"/>
        </w:rPr>
      </w:pPr>
    </w:p>
    <w:p w:rsidR="00866D25" w:rsidRDefault="00866D25" w:rsidP="00866D25">
      <w:pPr>
        <w:ind w:left="709" w:hanging="709"/>
        <w:rPr>
          <w:rStyle w:val="endsenrhsennumparatext"/>
          <w:lang w:val="en"/>
        </w:rPr>
      </w:pPr>
      <w:r>
        <w:rPr>
          <w:rFonts w:cs="Arial"/>
          <w:sz w:val="22"/>
          <w:szCs w:val="22"/>
        </w:rPr>
        <w:t>5.1</w:t>
      </w:r>
      <w:r>
        <w:rPr>
          <w:rFonts w:cs="Arial"/>
          <w:sz w:val="22"/>
          <w:szCs w:val="22"/>
        </w:rPr>
        <w:tab/>
        <w:t>Section 28 of the Local Government Act 2003 requires authorities</w:t>
      </w:r>
      <w:r>
        <w:rPr>
          <w:rFonts w:cs="Arial"/>
          <w:sz w:val="22"/>
          <w:szCs w:val="22"/>
          <w:lang w:val="en"/>
        </w:rPr>
        <w:t xml:space="preserve"> </w:t>
      </w:r>
      <w:r>
        <w:rPr>
          <w:rStyle w:val="endsenrhsennumparatext"/>
          <w:rFonts w:cs="Arial"/>
          <w:sz w:val="22"/>
          <w:szCs w:val="22"/>
          <w:lang w:val="en"/>
        </w:rPr>
        <w:t>to monitor their income and expenditure against their budget, and be ready to take action if overspends or shortfalls in income emerge.  If monitoring establishes that the budgetary situation has deteriorated, authorities are required to take such action as they consider necessary. This might include, for instance, action to reduce spending in the rest of the year, or to increase income, or the authority might decide to take no action but to finance the shortfall from reserves.</w:t>
      </w:r>
    </w:p>
    <w:p w:rsidR="00866D25" w:rsidRDefault="00866D25" w:rsidP="00866D25">
      <w:pPr>
        <w:rPr>
          <w:rStyle w:val="endsenrhsennumparatext"/>
          <w:rFonts w:cs="Arial"/>
          <w:sz w:val="22"/>
          <w:szCs w:val="22"/>
          <w:lang w:val="en"/>
        </w:rPr>
      </w:pPr>
    </w:p>
    <w:p w:rsidR="00866D25" w:rsidRPr="00D02D7D" w:rsidRDefault="00866D25" w:rsidP="00866D25">
      <w:pPr>
        <w:rPr>
          <w:rStyle w:val="endsenrhsennumparatext"/>
          <w:rFonts w:cs="Arial"/>
          <w:b/>
          <w:sz w:val="22"/>
          <w:szCs w:val="22"/>
          <w:lang w:val="en"/>
        </w:rPr>
      </w:pPr>
      <w:r w:rsidRPr="00D02D7D">
        <w:rPr>
          <w:rStyle w:val="endsenrhsennumparatext"/>
          <w:rFonts w:cs="Arial"/>
          <w:sz w:val="22"/>
          <w:szCs w:val="22"/>
          <w:lang w:val="en"/>
        </w:rPr>
        <w:t>6</w:t>
      </w:r>
      <w:r w:rsidR="00D02D7D">
        <w:rPr>
          <w:rStyle w:val="endsenrhsennumparatext"/>
          <w:rFonts w:cs="Arial"/>
          <w:sz w:val="22"/>
          <w:szCs w:val="22"/>
          <w:lang w:val="en"/>
        </w:rPr>
        <w:t>.</w:t>
      </w:r>
      <w:r>
        <w:rPr>
          <w:rStyle w:val="endsenrhsennumparatext"/>
          <w:rFonts w:cs="Arial"/>
          <w:b/>
          <w:sz w:val="22"/>
          <w:szCs w:val="22"/>
          <w:lang w:val="en"/>
        </w:rPr>
        <w:tab/>
      </w:r>
      <w:r w:rsidRPr="00D02D7D">
        <w:rPr>
          <w:rStyle w:val="endsenrhsennumparatext"/>
          <w:rFonts w:cs="Arial"/>
          <w:b/>
          <w:sz w:val="22"/>
          <w:szCs w:val="22"/>
          <w:lang w:val="en"/>
        </w:rPr>
        <w:t>Conclusion</w:t>
      </w:r>
    </w:p>
    <w:p w:rsidR="00866D25" w:rsidRDefault="00866D25" w:rsidP="00866D25">
      <w:pPr>
        <w:rPr>
          <w:rStyle w:val="endsenrhsennumparatext"/>
          <w:rFonts w:cs="Arial"/>
          <w:b/>
          <w:sz w:val="22"/>
          <w:szCs w:val="22"/>
          <w:u w:val="single"/>
          <w:lang w:val="en"/>
        </w:rPr>
      </w:pPr>
    </w:p>
    <w:p w:rsidR="00866D25" w:rsidRDefault="00866D25" w:rsidP="00866D25">
      <w:pPr>
        <w:ind w:left="709" w:hanging="709"/>
        <w:rPr>
          <w:rStyle w:val="endsenrhsennumparatext"/>
          <w:rFonts w:cs="Arial"/>
          <w:sz w:val="22"/>
          <w:szCs w:val="22"/>
          <w:lang w:val="en"/>
        </w:rPr>
      </w:pPr>
      <w:r>
        <w:rPr>
          <w:rStyle w:val="endsenrhsennumparatext"/>
          <w:rFonts w:cs="Arial"/>
          <w:sz w:val="22"/>
          <w:szCs w:val="22"/>
          <w:lang w:val="en"/>
        </w:rPr>
        <w:t>6.1</w:t>
      </w:r>
      <w:r>
        <w:rPr>
          <w:rStyle w:val="endsenrhsennumparatext"/>
          <w:rFonts w:cs="Arial"/>
          <w:sz w:val="22"/>
          <w:szCs w:val="22"/>
          <w:lang w:val="en"/>
        </w:rPr>
        <w:tab/>
        <w:t xml:space="preserve">The projected use of General Fund balances shown in Table 1 of the report shows </w:t>
      </w:r>
      <w:r w:rsidR="007B3DE4">
        <w:rPr>
          <w:rStyle w:val="endsenrhsennumparatext"/>
          <w:rFonts w:cs="Arial"/>
          <w:sz w:val="22"/>
          <w:szCs w:val="22"/>
          <w:lang w:val="en"/>
        </w:rPr>
        <w:tab/>
      </w:r>
      <w:r w:rsidR="007B3DE4">
        <w:rPr>
          <w:rStyle w:val="endsenrhsennumparatext"/>
          <w:rFonts w:cs="Arial"/>
          <w:sz w:val="22"/>
          <w:szCs w:val="22"/>
          <w:lang w:val="en"/>
        </w:rPr>
        <w:tab/>
      </w:r>
      <w:r>
        <w:rPr>
          <w:rStyle w:val="endsenrhsennumparatext"/>
          <w:rFonts w:cs="Arial"/>
          <w:sz w:val="22"/>
          <w:szCs w:val="22"/>
          <w:lang w:val="en"/>
        </w:rPr>
        <w:t xml:space="preserve">an increase from  £0.702m to £1.735m based on information at 30 September 2017.  </w:t>
      </w:r>
      <w:r w:rsidR="007B3DE4">
        <w:rPr>
          <w:rStyle w:val="endsenrhsennumparatext"/>
          <w:rFonts w:cs="Arial"/>
          <w:sz w:val="22"/>
          <w:szCs w:val="22"/>
          <w:lang w:val="en"/>
        </w:rPr>
        <w:tab/>
      </w:r>
      <w:r w:rsidR="007B3DE4">
        <w:rPr>
          <w:rStyle w:val="endsenrhsennumparatext"/>
          <w:rFonts w:cs="Arial"/>
          <w:sz w:val="22"/>
          <w:szCs w:val="22"/>
          <w:lang w:val="en"/>
        </w:rPr>
        <w:tab/>
      </w:r>
      <w:r>
        <w:rPr>
          <w:rStyle w:val="endsenrhsennumparatext"/>
          <w:rFonts w:cs="Arial"/>
          <w:sz w:val="22"/>
          <w:szCs w:val="22"/>
          <w:lang w:val="en"/>
        </w:rPr>
        <w:t xml:space="preserve">This includes £465,000 of unused budgets carried forward from 2016/17 where a </w:t>
      </w:r>
      <w:r w:rsidR="007B3DE4">
        <w:rPr>
          <w:rStyle w:val="endsenrhsennumparatext"/>
          <w:rFonts w:cs="Arial"/>
          <w:sz w:val="22"/>
          <w:szCs w:val="22"/>
          <w:lang w:val="en"/>
        </w:rPr>
        <w:tab/>
      </w:r>
      <w:r w:rsidR="007B3DE4">
        <w:rPr>
          <w:rStyle w:val="endsenrhsennumparatext"/>
          <w:rFonts w:cs="Arial"/>
          <w:sz w:val="22"/>
          <w:szCs w:val="22"/>
          <w:lang w:val="en"/>
        </w:rPr>
        <w:tab/>
      </w:r>
      <w:r>
        <w:rPr>
          <w:rStyle w:val="endsenrhsennumparatext"/>
          <w:rFonts w:cs="Arial"/>
          <w:sz w:val="22"/>
          <w:szCs w:val="22"/>
          <w:lang w:val="en"/>
        </w:rPr>
        <w:t xml:space="preserve">corresponding saving was registered in the accounts.  This leaves £568m of </w:t>
      </w:r>
      <w:r w:rsidR="007B3DE4">
        <w:rPr>
          <w:rStyle w:val="endsenrhsennumparatext"/>
          <w:rFonts w:cs="Arial"/>
          <w:sz w:val="22"/>
          <w:szCs w:val="22"/>
          <w:lang w:val="en"/>
        </w:rPr>
        <w:tab/>
      </w:r>
      <w:r w:rsidR="007B3DE4">
        <w:rPr>
          <w:rStyle w:val="endsenrhsennumparatext"/>
          <w:rFonts w:cs="Arial"/>
          <w:sz w:val="22"/>
          <w:szCs w:val="22"/>
          <w:lang w:val="en"/>
        </w:rPr>
        <w:tab/>
      </w:r>
      <w:r w:rsidR="007B3DE4">
        <w:rPr>
          <w:rStyle w:val="endsenrhsennumparatext"/>
          <w:rFonts w:cs="Arial"/>
          <w:sz w:val="22"/>
          <w:szCs w:val="22"/>
          <w:lang w:val="en"/>
        </w:rPr>
        <w:tab/>
      </w:r>
      <w:r>
        <w:rPr>
          <w:rStyle w:val="endsenrhsennumparatext"/>
          <w:rFonts w:cs="Arial"/>
          <w:sz w:val="22"/>
          <w:szCs w:val="22"/>
          <w:lang w:val="en"/>
        </w:rPr>
        <w:t xml:space="preserve">additional cost pressures that have been identified since the budget was approved in </w:t>
      </w:r>
      <w:r w:rsidR="007B3DE4">
        <w:rPr>
          <w:rStyle w:val="endsenrhsennumparatext"/>
          <w:rFonts w:cs="Arial"/>
          <w:sz w:val="22"/>
          <w:szCs w:val="22"/>
          <w:lang w:val="en"/>
        </w:rPr>
        <w:tab/>
      </w:r>
      <w:r w:rsidR="007B3DE4">
        <w:rPr>
          <w:rStyle w:val="endsenrhsennumparatext"/>
          <w:rFonts w:cs="Arial"/>
          <w:sz w:val="22"/>
          <w:szCs w:val="22"/>
          <w:lang w:val="en"/>
        </w:rPr>
        <w:tab/>
      </w:r>
      <w:r>
        <w:rPr>
          <w:rStyle w:val="endsenrhsennumparatext"/>
          <w:rFonts w:cs="Arial"/>
          <w:sz w:val="22"/>
          <w:szCs w:val="22"/>
          <w:lang w:val="en"/>
        </w:rPr>
        <w:t xml:space="preserve">January 2017.  </w:t>
      </w:r>
    </w:p>
    <w:p w:rsidR="00866D25" w:rsidRDefault="00866D25" w:rsidP="00866D25">
      <w:pPr>
        <w:ind w:left="709" w:hanging="709"/>
        <w:rPr>
          <w:rStyle w:val="endsenrhsennumparatext"/>
          <w:rFonts w:cs="Arial"/>
          <w:sz w:val="22"/>
          <w:szCs w:val="22"/>
          <w:lang w:val="en"/>
        </w:rPr>
      </w:pPr>
    </w:p>
    <w:p w:rsidR="00866D25" w:rsidRDefault="00866D25" w:rsidP="00866D25">
      <w:pPr>
        <w:ind w:left="709" w:hanging="709"/>
        <w:rPr>
          <w:rStyle w:val="endsenrhsennumparatext"/>
          <w:rFonts w:cs="Arial"/>
          <w:sz w:val="22"/>
          <w:szCs w:val="22"/>
          <w:lang w:val="en"/>
        </w:rPr>
      </w:pPr>
      <w:r>
        <w:rPr>
          <w:rStyle w:val="endsenrhsennumparatext"/>
          <w:rFonts w:cs="Arial"/>
          <w:sz w:val="22"/>
          <w:szCs w:val="22"/>
          <w:lang w:val="en"/>
        </w:rPr>
        <w:t>6.2</w:t>
      </w:r>
      <w:r>
        <w:rPr>
          <w:rStyle w:val="endsenrhsennumparatext"/>
          <w:rFonts w:cs="Arial"/>
          <w:sz w:val="22"/>
          <w:szCs w:val="22"/>
          <w:lang w:val="en"/>
        </w:rPr>
        <w:tab/>
        <w:t xml:space="preserve">The Chief Executive and Corporate Director of Resources have a number of </w:t>
      </w:r>
      <w:r w:rsidR="007B3DE4">
        <w:rPr>
          <w:rStyle w:val="endsenrhsennumparatext"/>
          <w:rFonts w:cs="Arial"/>
          <w:sz w:val="22"/>
          <w:szCs w:val="22"/>
          <w:lang w:val="en"/>
        </w:rPr>
        <w:tab/>
      </w:r>
      <w:r w:rsidR="007B3DE4">
        <w:rPr>
          <w:rStyle w:val="endsenrhsennumparatext"/>
          <w:rFonts w:cs="Arial"/>
          <w:sz w:val="22"/>
          <w:szCs w:val="22"/>
          <w:lang w:val="en"/>
        </w:rPr>
        <w:tab/>
      </w:r>
      <w:r w:rsidR="007B3DE4">
        <w:rPr>
          <w:rStyle w:val="endsenrhsennumparatext"/>
          <w:rFonts w:cs="Arial"/>
          <w:sz w:val="22"/>
          <w:szCs w:val="22"/>
          <w:lang w:val="en"/>
        </w:rPr>
        <w:tab/>
      </w:r>
      <w:r>
        <w:rPr>
          <w:rStyle w:val="endsenrhsennumparatext"/>
          <w:rFonts w:cs="Arial"/>
          <w:sz w:val="22"/>
          <w:szCs w:val="22"/>
          <w:lang w:val="en"/>
        </w:rPr>
        <w:t xml:space="preserve">concerns leading up to Members considering the Medium Term Financial Strategy </w:t>
      </w:r>
      <w:r w:rsidR="007B3DE4">
        <w:rPr>
          <w:rStyle w:val="endsenrhsennumparatext"/>
          <w:rFonts w:cs="Arial"/>
          <w:sz w:val="22"/>
          <w:szCs w:val="22"/>
          <w:lang w:val="en"/>
        </w:rPr>
        <w:tab/>
      </w:r>
      <w:r w:rsidR="007B3DE4">
        <w:rPr>
          <w:rStyle w:val="endsenrhsennumparatext"/>
          <w:rFonts w:cs="Arial"/>
          <w:sz w:val="22"/>
          <w:szCs w:val="22"/>
          <w:lang w:val="en"/>
        </w:rPr>
        <w:tab/>
      </w:r>
      <w:r>
        <w:rPr>
          <w:rStyle w:val="endsenrhsennumparatext"/>
          <w:rFonts w:cs="Arial"/>
          <w:sz w:val="22"/>
          <w:szCs w:val="22"/>
          <w:lang w:val="en"/>
        </w:rPr>
        <w:t xml:space="preserve">(MTFS) for 2018/19 to 2020/21 in the autumn.  The table below shows the changes </w:t>
      </w:r>
      <w:r w:rsidR="007B3DE4">
        <w:rPr>
          <w:rStyle w:val="endsenrhsennumparatext"/>
          <w:rFonts w:cs="Arial"/>
          <w:sz w:val="22"/>
          <w:szCs w:val="22"/>
          <w:lang w:val="en"/>
        </w:rPr>
        <w:tab/>
      </w:r>
      <w:r w:rsidR="007B3DE4">
        <w:rPr>
          <w:rStyle w:val="endsenrhsennumparatext"/>
          <w:rFonts w:cs="Arial"/>
          <w:sz w:val="22"/>
          <w:szCs w:val="22"/>
          <w:lang w:val="en"/>
        </w:rPr>
        <w:tab/>
      </w:r>
      <w:r>
        <w:rPr>
          <w:rStyle w:val="endsenrhsennumparatext"/>
          <w:rFonts w:cs="Arial"/>
          <w:sz w:val="22"/>
          <w:szCs w:val="22"/>
          <w:lang w:val="en"/>
        </w:rPr>
        <w:t>in actual spending since the Council approved the budget in February 2017:</w:t>
      </w:r>
    </w:p>
    <w:p w:rsidR="00866D25" w:rsidRDefault="00866D25" w:rsidP="00866D25">
      <w:pPr>
        <w:ind w:left="709"/>
        <w:rPr>
          <w:rStyle w:val="endsenrhsennumparatext"/>
          <w:rFonts w:cs="Arial"/>
          <w:sz w:val="22"/>
          <w:szCs w:val="22"/>
          <w:lang w:val="en"/>
        </w:rPr>
      </w:pPr>
      <w:r>
        <w:rPr>
          <w:rFonts w:cs="Arial"/>
          <w:noProof/>
          <w:sz w:val="22"/>
          <w:szCs w:val="22"/>
          <w:lang w:eastAsia="en-GB"/>
        </w:rPr>
        <w:drawing>
          <wp:inline distT="0" distB="0" distL="0" distR="0">
            <wp:extent cx="5467350" cy="2371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2371725"/>
                    </a:xfrm>
                    <a:prstGeom prst="rect">
                      <a:avLst/>
                    </a:prstGeom>
                    <a:noFill/>
                    <a:ln>
                      <a:noFill/>
                    </a:ln>
                  </pic:spPr>
                </pic:pic>
              </a:graphicData>
            </a:graphic>
          </wp:inline>
        </w:drawing>
      </w:r>
    </w:p>
    <w:p w:rsidR="00866D25" w:rsidRDefault="00866D25" w:rsidP="00866D25">
      <w:pPr>
        <w:ind w:left="709" w:hanging="709"/>
        <w:rPr>
          <w:rStyle w:val="endsenrhsennumparatext"/>
          <w:rFonts w:cs="Arial"/>
          <w:sz w:val="22"/>
          <w:szCs w:val="22"/>
          <w:lang w:val="en"/>
        </w:rPr>
      </w:pPr>
    </w:p>
    <w:p w:rsidR="00866D25" w:rsidRDefault="00866D25" w:rsidP="00866D25">
      <w:pPr>
        <w:ind w:left="709"/>
        <w:rPr>
          <w:rStyle w:val="endsenrhsennumparatext"/>
          <w:rFonts w:cs="Arial"/>
          <w:sz w:val="22"/>
          <w:szCs w:val="22"/>
          <w:lang w:val="en"/>
        </w:rPr>
      </w:pPr>
      <w:r>
        <w:rPr>
          <w:rStyle w:val="endsenrhsennumparatext"/>
          <w:rFonts w:cs="Arial"/>
          <w:sz w:val="22"/>
          <w:szCs w:val="22"/>
          <w:lang w:val="en"/>
        </w:rPr>
        <w:lastRenderedPageBreak/>
        <w:t xml:space="preserve">The expenditure on service delivery has increased from £3.1m to £5.2 m over the last six months. </w:t>
      </w:r>
    </w:p>
    <w:p w:rsidR="00866D25" w:rsidRDefault="00866D25" w:rsidP="00866D25">
      <w:pPr>
        <w:ind w:left="709"/>
        <w:rPr>
          <w:rStyle w:val="endsenrhsennumparatext"/>
          <w:rFonts w:cs="Arial"/>
          <w:sz w:val="22"/>
          <w:szCs w:val="22"/>
          <w:lang w:val="en"/>
        </w:rPr>
      </w:pP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 xml:space="preserve">It is clear that in some areas the number of </w:t>
      </w:r>
      <w:r w:rsidR="000431B5">
        <w:rPr>
          <w:rStyle w:val="endsenrhsennumparatext"/>
          <w:rFonts w:ascii="Arial" w:hAnsi="Arial" w:cs="Arial"/>
          <w:lang w:val="en"/>
        </w:rPr>
        <w:t>s</w:t>
      </w:r>
      <w:r w:rsidRPr="00866D25">
        <w:rPr>
          <w:rStyle w:val="endsenrhsennumparatext"/>
          <w:rFonts w:ascii="Arial" w:hAnsi="Arial" w:cs="Arial"/>
          <w:lang w:val="en"/>
        </w:rPr>
        <w:t xml:space="preserve">upplementary </w:t>
      </w:r>
      <w:r w:rsidR="000431B5">
        <w:rPr>
          <w:rStyle w:val="endsenrhsennumparatext"/>
          <w:rFonts w:ascii="Arial" w:hAnsi="Arial" w:cs="Arial"/>
          <w:lang w:val="en"/>
        </w:rPr>
        <w:t>e</w:t>
      </w:r>
      <w:r w:rsidRPr="00866D25">
        <w:rPr>
          <w:rStyle w:val="endsenrhsennumparatext"/>
          <w:rFonts w:ascii="Arial" w:hAnsi="Arial" w:cs="Arial"/>
          <w:lang w:val="en"/>
        </w:rPr>
        <w:t xml:space="preserve">stimate </w:t>
      </w:r>
      <w:r w:rsidR="000431B5">
        <w:rPr>
          <w:rStyle w:val="endsenrhsennumparatext"/>
          <w:rFonts w:ascii="Arial" w:hAnsi="Arial" w:cs="Arial"/>
          <w:lang w:val="en"/>
        </w:rPr>
        <w:t>r</w:t>
      </w:r>
      <w:r w:rsidRPr="00866D25">
        <w:rPr>
          <w:rStyle w:val="endsenrhsennumparatext"/>
          <w:rFonts w:ascii="Arial" w:hAnsi="Arial" w:cs="Arial"/>
          <w:lang w:val="en"/>
        </w:rPr>
        <w:t>equests of over £1.4 m, a number of which have been submitted before the financial year began, together with general overspends is putting pressure on the Council</w:t>
      </w:r>
      <w:r w:rsidR="00D02D7D">
        <w:rPr>
          <w:rStyle w:val="endsenrhsennumparatext"/>
          <w:rFonts w:ascii="Arial" w:hAnsi="Arial" w:cs="Arial"/>
          <w:lang w:val="en"/>
        </w:rPr>
        <w:t>’</w:t>
      </w:r>
      <w:r w:rsidRPr="00866D25">
        <w:rPr>
          <w:rStyle w:val="endsenrhsennumparatext"/>
          <w:rFonts w:ascii="Arial" w:hAnsi="Arial" w:cs="Arial"/>
          <w:lang w:val="en"/>
        </w:rPr>
        <w:t xml:space="preserve">s General Fund working balance. It shows there is still work to be done with senior </w:t>
      </w:r>
      <w:r w:rsidR="000431B5">
        <w:rPr>
          <w:rStyle w:val="endsenrhsennumparatext"/>
          <w:rFonts w:ascii="Arial" w:hAnsi="Arial" w:cs="Arial"/>
          <w:lang w:val="en"/>
        </w:rPr>
        <w:t>O</w:t>
      </w:r>
      <w:r w:rsidRPr="00866D25">
        <w:rPr>
          <w:rStyle w:val="endsenrhsennumparatext"/>
          <w:rFonts w:ascii="Arial" w:hAnsi="Arial" w:cs="Arial"/>
          <w:lang w:val="en"/>
        </w:rPr>
        <w:t>fficers in preparing realistic Business Plans and forward looking financial plans for both capital and revenue.</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In the first week of November 2017</w:t>
      </w:r>
      <w:r w:rsidR="00D02D7D">
        <w:rPr>
          <w:rStyle w:val="endsenrhsennumparatext"/>
          <w:rFonts w:ascii="Arial" w:hAnsi="Arial" w:cs="Arial"/>
          <w:lang w:val="en"/>
        </w:rPr>
        <w:t>,</w:t>
      </w:r>
      <w:r w:rsidRPr="00866D25">
        <w:rPr>
          <w:rStyle w:val="endsenrhsennumparatext"/>
          <w:rFonts w:ascii="Arial" w:hAnsi="Arial" w:cs="Arial"/>
          <w:lang w:val="en"/>
        </w:rPr>
        <w:t xml:space="preserve"> </w:t>
      </w:r>
      <w:r w:rsidR="00D02D7D">
        <w:rPr>
          <w:rStyle w:val="endsenrhsennumparatext"/>
          <w:rFonts w:ascii="Arial" w:hAnsi="Arial" w:cs="Arial"/>
          <w:lang w:val="en"/>
        </w:rPr>
        <w:t>O</w:t>
      </w:r>
      <w:r w:rsidRPr="00866D25">
        <w:rPr>
          <w:rStyle w:val="endsenrhsennumparatext"/>
          <w:rFonts w:ascii="Arial" w:hAnsi="Arial" w:cs="Arial"/>
          <w:lang w:val="en"/>
        </w:rPr>
        <w:t>fficers have submitted new capital programme bids, mainly for heavy plant and equipment relating to refuse collection and street cleaning of over £2.5m. As Council policy assumes these will be funded from either revenue or capital receipts, this is likely to increase revenue costs in the medium term. The Corporate Director has assumed the capital receipts from the Addlestone One development will be used to reduce borrowing costs. This may not be possible in 2018/19.</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The table above shows significant savings in our Treasury management function, a mix of reduced spending, borrowing when interest rates are low and better than expected returns on our investments. However there are risks in 2018/19 as the Bank of England assumes that base rate will increase to 1% by 2020. Most economists assume the loan rate on PWLB long term loans will be over 3.5% by 2020.</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A significant part of the Council</w:t>
      </w:r>
      <w:r w:rsidR="00D02D7D">
        <w:rPr>
          <w:rStyle w:val="endsenrhsennumparatext"/>
          <w:rFonts w:ascii="Arial" w:hAnsi="Arial" w:cs="Arial"/>
          <w:lang w:val="en"/>
        </w:rPr>
        <w:t>’</w:t>
      </w:r>
      <w:r w:rsidRPr="00866D25">
        <w:rPr>
          <w:rStyle w:val="endsenrhsennumparatext"/>
          <w:rFonts w:ascii="Arial" w:hAnsi="Arial" w:cs="Arial"/>
          <w:lang w:val="en"/>
        </w:rPr>
        <w:t>s regeneration program</w:t>
      </w:r>
      <w:r w:rsidR="00D02D7D">
        <w:rPr>
          <w:rStyle w:val="endsenrhsennumparatext"/>
          <w:rFonts w:ascii="Arial" w:hAnsi="Arial" w:cs="Arial"/>
          <w:lang w:val="en"/>
        </w:rPr>
        <w:t>me</w:t>
      </w:r>
      <w:r w:rsidRPr="00866D25">
        <w:rPr>
          <w:rStyle w:val="endsenrhsennumparatext"/>
          <w:rFonts w:ascii="Arial" w:hAnsi="Arial" w:cs="Arial"/>
          <w:lang w:val="en"/>
        </w:rPr>
        <w:t xml:space="preserve"> is to be delivered in between late 2018 to 2020, at a time when the historical low interest period is likely to end. This is likely to put further pressure on the General Fund.</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There is much speculation o</w:t>
      </w:r>
      <w:r w:rsidR="00D02D7D">
        <w:rPr>
          <w:rStyle w:val="endsenrhsennumparatext"/>
          <w:rFonts w:ascii="Arial" w:hAnsi="Arial" w:cs="Arial"/>
          <w:lang w:val="en"/>
        </w:rPr>
        <w:t>n</w:t>
      </w:r>
      <w:r w:rsidRPr="00866D25">
        <w:rPr>
          <w:rStyle w:val="endsenrhsennumparatext"/>
          <w:rFonts w:ascii="Arial" w:hAnsi="Arial" w:cs="Arial"/>
          <w:lang w:val="en"/>
        </w:rPr>
        <w:t xml:space="preserve"> what </w:t>
      </w:r>
      <w:r w:rsidR="00D02D7D">
        <w:rPr>
          <w:rStyle w:val="endsenrhsennumparatext"/>
          <w:rFonts w:ascii="Arial" w:hAnsi="Arial" w:cs="Arial"/>
          <w:lang w:val="en"/>
        </w:rPr>
        <w:t>C</w:t>
      </w:r>
      <w:r w:rsidRPr="00866D25">
        <w:rPr>
          <w:rStyle w:val="endsenrhsennumparatext"/>
          <w:rFonts w:ascii="Arial" w:hAnsi="Arial" w:cs="Arial"/>
          <w:lang w:val="en"/>
        </w:rPr>
        <w:t>ouncils will be able to borrow from Government and under what terms. At this stage it is assumed they will not impact on the Council</w:t>
      </w:r>
      <w:r w:rsidR="00D02D7D">
        <w:rPr>
          <w:rStyle w:val="endsenrhsennumparatext"/>
          <w:rFonts w:ascii="Arial" w:hAnsi="Arial" w:cs="Arial"/>
          <w:lang w:val="en"/>
        </w:rPr>
        <w:t>’</w:t>
      </w:r>
      <w:r w:rsidRPr="00866D25">
        <w:rPr>
          <w:rStyle w:val="endsenrhsennumparatext"/>
          <w:rFonts w:ascii="Arial" w:hAnsi="Arial" w:cs="Arial"/>
          <w:lang w:val="en"/>
        </w:rPr>
        <w:t>s regeneration plans</w:t>
      </w:r>
      <w:r w:rsidR="00D02D7D">
        <w:rPr>
          <w:rStyle w:val="endsenrhsennumparatext"/>
          <w:rFonts w:ascii="Arial" w:hAnsi="Arial" w:cs="Arial"/>
          <w:lang w:val="en"/>
        </w:rPr>
        <w:t>.</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2019/20 is the final year of the spending review and the Government</w:t>
      </w:r>
      <w:r w:rsidR="00D02D7D">
        <w:rPr>
          <w:rStyle w:val="endsenrhsennumparatext"/>
          <w:rFonts w:ascii="Arial" w:hAnsi="Arial" w:cs="Arial"/>
          <w:lang w:val="en"/>
        </w:rPr>
        <w:t>’</w:t>
      </w:r>
      <w:r w:rsidRPr="00866D25">
        <w:rPr>
          <w:rStyle w:val="endsenrhsennumparatext"/>
          <w:rFonts w:ascii="Arial" w:hAnsi="Arial" w:cs="Arial"/>
          <w:lang w:val="en"/>
        </w:rPr>
        <w:t xml:space="preserve">s “Certainty </w:t>
      </w:r>
      <w:r w:rsidR="00D02D7D">
        <w:rPr>
          <w:rStyle w:val="endsenrhsennumparatext"/>
          <w:rFonts w:ascii="Arial" w:hAnsi="Arial" w:cs="Arial"/>
          <w:lang w:val="en"/>
        </w:rPr>
        <w:t>S</w:t>
      </w:r>
      <w:r w:rsidRPr="00866D25">
        <w:rPr>
          <w:rStyle w:val="endsenrhsennumparatext"/>
          <w:rFonts w:ascii="Arial" w:hAnsi="Arial" w:cs="Arial"/>
          <w:lang w:val="en"/>
        </w:rPr>
        <w:t>ettlement” this Council achieved by submitting its detailed financial plans for Government approval. The Corporate Director of Resources assumes that funding will not improve, or materially worsen for negative Revenue Support Grant.</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If the Surrey Business Rates pilot is approved by Government then the Council may benefit from an additional one off sum of £0.5m to improve the Gen</w:t>
      </w:r>
      <w:r w:rsidR="000431B5">
        <w:rPr>
          <w:rStyle w:val="endsenrhsennumparatext"/>
          <w:rFonts w:ascii="Arial" w:hAnsi="Arial" w:cs="Arial"/>
          <w:lang w:val="en"/>
        </w:rPr>
        <w:t xml:space="preserve">eral </w:t>
      </w:r>
      <w:r w:rsidRPr="00866D25">
        <w:rPr>
          <w:rStyle w:val="endsenrhsennumparatext"/>
          <w:rFonts w:ascii="Arial" w:hAnsi="Arial" w:cs="Arial"/>
          <w:lang w:val="en"/>
        </w:rPr>
        <w:t>Fund situation, however:</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 xml:space="preserve">The </w:t>
      </w:r>
      <w:r w:rsidR="00D02D7D">
        <w:rPr>
          <w:rStyle w:val="endsenrhsennumparatext"/>
          <w:rFonts w:ascii="Arial" w:hAnsi="Arial" w:cs="Arial"/>
          <w:lang w:val="en"/>
        </w:rPr>
        <w:t>G</w:t>
      </w:r>
      <w:r w:rsidRPr="00866D25">
        <w:rPr>
          <w:rStyle w:val="endsenrhsennumparatext"/>
          <w:rFonts w:ascii="Arial" w:hAnsi="Arial" w:cs="Arial"/>
          <w:lang w:val="en"/>
        </w:rPr>
        <w:t>overnment intends to reduce the New Homes Bonus total grant significantly next year from £1.3 million in 2017/18 to £0.938m in 2018/19. The reduction of £313,900 is a 25% reduction. The Tax base for Runnymede has increased from 33,327 band D equivalents to 33,490</w:t>
      </w:r>
      <w:r w:rsidR="00D02D7D">
        <w:rPr>
          <w:rStyle w:val="endsenrhsennumparatext"/>
          <w:rFonts w:ascii="Arial" w:hAnsi="Arial" w:cs="Arial"/>
          <w:lang w:val="en"/>
        </w:rPr>
        <w:t>,</w:t>
      </w:r>
      <w:r w:rsidRPr="00866D25">
        <w:rPr>
          <w:rStyle w:val="endsenrhsennumparatext"/>
          <w:rFonts w:ascii="Arial" w:hAnsi="Arial" w:cs="Arial"/>
          <w:lang w:val="en"/>
        </w:rPr>
        <w:t xml:space="preserve"> </w:t>
      </w:r>
      <w:r w:rsidR="00D02D7D">
        <w:rPr>
          <w:rStyle w:val="endsenrhsennumparatext"/>
          <w:rFonts w:ascii="Arial" w:hAnsi="Arial" w:cs="Arial"/>
          <w:lang w:val="en"/>
        </w:rPr>
        <w:t>a</w:t>
      </w:r>
      <w:r w:rsidRPr="00866D25">
        <w:rPr>
          <w:rStyle w:val="endsenrhsennumparatext"/>
          <w:rFonts w:ascii="Arial" w:hAnsi="Arial" w:cs="Arial"/>
          <w:lang w:val="en"/>
        </w:rPr>
        <w:t xml:space="preserve">n increase of 0.5%. As the </w:t>
      </w:r>
      <w:r w:rsidR="00D02D7D">
        <w:rPr>
          <w:rStyle w:val="endsenrhsennumparatext"/>
          <w:rFonts w:ascii="Arial" w:hAnsi="Arial" w:cs="Arial"/>
          <w:lang w:val="en"/>
        </w:rPr>
        <w:t>G</w:t>
      </w:r>
      <w:r w:rsidRPr="00866D25">
        <w:rPr>
          <w:rStyle w:val="endsenrhsennumparatext"/>
          <w:rFonts w:ascii="Arial" w:hAnsi="Arial" w:cs="Arial"/>
          <w:lang w:val="en"/>
        </w:rPr>
        <w:t>overnment assume 0.4% increase would occur without Council involvement, the Corporate Director of Resources is not anticipat</w:t>
      </w:r>
      <w:r w:rsidR="00D02D7D">
        <w:rPr>
          <w:rStyle w:val="endsenrhsennumparatext"/>
          <w:rFonts w:ascii="Arial" w:hAnsi="Arial" w:cs="Arial"/>
          <w:lang w:val="en"/>
        </w:rPr>
        <w:t>ing</w:t>
      </w:r>
      <w:r w:rsidRPr="00866D25">
        <w:rPr>
          <w:rStyle w:val="endsenrhsennumparatext"/>
          <w:rFonts w:ascii="Arial" w:hAnsi="Arial" w:cs="Arial"/>
          <w:lang w:val="en"/>
        </w:rPr>
        <w:t xml:space="preserve"> any additional income in 2018/19. </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Paragraph 2.9 of this report shows £203,000 of section 106 funding earmarked for the yellow bus initiative has not been received. Clearly this may be a further call on the General Fund working balance.</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 xml:space="preserve">The Chief Executive and Director of Commercial Services and the Property </w:t>
      </w:r>
      <w:r w:rsidR="000431B5">
        <w:rPr>
          <w:rStyle w:val="endsenrhsennumparatext"/>
          <w:rFonts w:ascii="Arial" w:hAnsi="Arial" w:cs="Arial"/>
          <w:lang w:val="en"/>
        </w:rPr>
        <w:t xml:space="preserve">and </w:t>
      </w:r>
      <w:r w:rsidRPr="00866D25">
        <w:rPr>
          <w:rStyle w:val="endsenrhsennumparatext"/>
          <w:rFonts w:ascii="Arial" w:hAnsi="Arial" w:cs="Arial"/>
          <w:lang w:val="en"/>
        </w:rPr>
        <w:t xml:space="preserve">Acquisitions </w:t>
      </w:r>
      <w:r w:rsidR="000431B5">
        <w:rPr>
          <w:rStyle w:val="endsenrhsennumparatext"/>
          <w:rFonts w:ascii="Arial" w:hAnsi="Arial" w:cs="Arial"/>
          <w:lang w:val="en"/>
        </w:rPr>
        <w:t>Member W</w:t>
      </w:r>
      <w:r w:rsidRPr="00866D25">
        <w:rPr>
          <w:rStyle w:val="endsenrhsennumparatext"/>
          <w:rFonts w:ascii="Arial" w:hAnsi="Arial" w:cs="Arial"/>
          <w:lang w:val="en"/>
        </w:rPr>
        <w:t xml:space="preserve">orking </w:t>
      </w:r>
      <w:r w:rsidR="000431B5">
        <w:rPr>
          <w:rStyle w:val="endsenrhsennumparatext"/>
          <w:rFonts w:ascii="Arial" w:hAnsi="Arial" w:cs="Arial"/>
          <w:lang w:val="en"/>
        </w:rPr>
        <w:t>G</w:t>
      </w:r>
      <w:r w:rsidRPr="00866D25">
        <w:rPr>
          <w:rStyle w:val="endsenrhsennumparatext"/>
          <w:rFonts w:ascii="Arial" w:hAnsi="Arial" w:cs="Arial"/>
          <w:lang w:val="en"/>
        </w:rPr>
        <w:t>roup are meeting soon to re-visit commercial acquisitions. However it is clear that, especially in Surrey, the number of private sector investors wishing to purchase good quality assets is driving up prices, and yields of 5% or more are difficult to find.  The MTFS currently relies on new additional income of £10million by 2021.  To generate this income the Council has earmarked over £500million to be spent on regeneration and place shaping schemes within the Borough over the life of the Capital Programme.  This strategy relies both on the Council identifying suitable assets that meet its stringent criteria and also no future Government intervention in such schemes.</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t>Surrey County Council are instigating a number of initiatives to reduce their budget.  One of these is to reduce refuse disposal costs by £4million over the next three years.  This will increase costs to the Surrey Districts and Boroughs.</w:t>
      </w:r>
    </w:p>
    <w:p w:rsidR="00866D25" w:rsidRPr="00866D25" w:rsidRDefault="00866D25" w:rsidP="00866D25">
      <w:pPr>
        <w:pStyle w:val="ListParagraph"/>
        <w:numPr>
          <w:ilvl w:val="0"/>
          <w:numId w:val="35"/>
        </w:numPr>
        <w:spacing w:after="0" w:line="240" w:lineRule="auto"/>
        <w:ind w:left="1418" w:hanging="698"/>
        <w:rPr>
          <w:rStyle w:val="endsenrhsennumparatext"/>
          <w:rFonts w:ascii="Arial" w:hAnsi="Arial" w:cs="Arial"/>
          <w:lang w:val="en"/>
        </w:rPr>
      </w:pPr>
      <w:r w:rsidRPr="00866D25">
        <w:rPr>
          <w:rStyle w:val="endsenrhsennumparatext"/>
          <w:rFonts w:ascii="Arial" w:hAnsi="Arial" w:cs="Arial"/>
          <w:lang w:val="en"/>
        </w:rPr>
        <w:lastRenderedPageBreak/>
        <w:t>Finance officers are examining each of the cost pressures identified in A</w:t>
      </w:r>
      <w:r w:rsidR="00C61945">
        <w:rPr>
          <w:rStyle w:val="endsenrhsennumparatext"/>
          <w:rFonts w:ascii="Arial" w:hAnsi="Arial" w:cs="Arial"/>
          <w:lang w:val="en"/>
        </w:rPr>
        <w:t>ppendix ‘G’</w:t>
      </w:r>
      <w:r w:rsidRPr="00866D25">
        <w:rPr>
          <w:rStyle w:val="endsenrhsennumparatext"/>
          <w:rFonts w:ascii="Arial" w:hAnsi="Arial" w:cs="Arial"/>
          <w:lang w:val="en"/>
        </w:rPr>
        <w:t>. Initially the Corporate Director of Resources anticipates around £900</w:t>
      </w:r>
      <w:r w:rsidR="00C61945">
        <w:rPr>
          <w:rStyle w:val="endsenrhsennumparatext"/>
          <w:rFonts w:ascii="Arial" w:hAnsi="Arial" w:cs="Arial"/>
          <w:lang w:val="en"/>
        </w:rPr>
        <w:t>,000</w:t>
      </w:r>
      <w:r w:rsidRPr="00866D25">
        <w:rPr>
          <w:rStyle w:val="endsenrhsennumparatext"/>
          <w:rFonts w:ascii="Arial" w:hAnsi="Arial" w:cs="Arial"/>
          <w:lang w:val="en"/>
        </w:rPr>
        <w:t xml:space="preserve"> of increased expenditure, or reduced income, will continue into 2018/19</w:t>
      </w:r>
      <w:r w:rsidR="00C61945">
        <w:rPr>
          <w:rStyle w:val="endsenrhsennumparatext"/>
          <w:rFonts w:ascii="Arial" w:hAnsi="Arial" w:cs="Arial"/>
          <w:lang w:val="en"/>
        </w:rPr>
        <w:t>.</w:t>
      </w:r>
    </w:p>
    <w:p w:rsidR="00866D25" w:rsidRDefault="00866D25" w:rsidP="00866D25">
      <w:pPr>
        <w:ind w:left="1418" w:hanging="698"/>
        <w:rPr>
          <w:rStyle w:val="endsenrhsennumparatext"/>
          <w:rFonts w:cs="Arial"/>
          <w:sz w:val="22"/>
          <w:szCs w:val="22"/>
          <w:lang w:val="en"/>
        </w:rPr>
      </w:pPr>
      <w:r>
        <w:rPr>
          <w:rStyle w:val="endsenrhsennumparatext"/>
          <w:rFonts w:cs="Arial"/>
          <w:sz w:val="22"/>
          <w:szCs w:val="22"/>
          <w:lang w:val="en"/>
        </w:rPr>
        <w:t xml:space="preserve">  </w:t>
      </w:r>
    </w:p>
    <w:p w:rsidR="00866D25" w:rsidRDefault="007B3DE4" w:rsidP="00866D25">
      <w:pPr>
        <w:ind w:left="709" w:hanging="709"/>
        <w:rPr>
          <w:rStyle w:val="endsenrhsennumparatext"/>
          <w:rFonts w:cs="Arial"/>
          <w:sz w:val="22"/>
          <w:szCs w:val="22"/>
          <w:lang w:val="en"/>
        </w:rPr>
      </w:pPr>
      <w:r>
        <w:rPr>
          <w:rStyle w:val="endsenrhsennumparatext"/>
          <w:rFonts w:cs="Arial"/>
          <w:sz w:val="22"/>
          <w:szCs w:val="22"/>
          <w:lang w:val="en"/>
        </w:rPr>
        <w:tab/>
      </w:r>
      <w:r w:rsidR="00866D25">
        <w:rPr>
          <w:rStyle w:val="endsenrhsennumparatext"/>
          <w:rFonts w:cs="Arial"/>
          <w:sz w:val="22"/>
          <w:szCs w:val="22"/>
          <w:lang w:val="en"/>
        </w:rPr>
        <w:t>6.3</w:t>
      </w:r>
      <w:r w:rsidR="00866D25">
        <w:rPr>
          <w:rStyle w:val="endsenrhsennumparatext"/>
          <w:rFonts w:cs="Arial"/>
          <w:sz w:val="22"/>
          <w:szCs w:val="22"/>
          <w:lang w:val="en"/>
        </w:rPr>
        <w:tab/>
        <w:t xml:space="preserve">The above risks will be quantified as far as possible for Members consideration in </w:t>
      </w:r>
      <w:r>
        <w:rPr>
          <w:rStyle w:val="endsenrhsennumparatext"/>
          <w:rFonts w:cs="Arial"/>
          <w:sz w:val="22"/>
          <w:szCs w:val="22"/>
          <w:lang w:val="en"/>
        </w:rPr>
        <w:tab/>
      </w:r>
      <w:r>
        <w:rPr>
          <w:rStyle w:val="endsenrhsennumparatext"/>
          <w:rFonts w:cs="Arial"/>
          <w:sz w:val="22"/>
          <w:szCs w:val="22"/>
          <w:lang w:val="en"/>
        </w:rPr>
        <w:tab/>
      </w:r>
      <w:r w:rsidR="00866D25">
        <w:rPr>
          <w:rStyle w:val="endsenrhsennumparatext"/>
          <w:rFonts w:cs="Arial"/>
          <w:sz w:val="22"/>
          <w:szCs w:val="22"/>
          <w:lang w:val="en"/>
        </w:rPr>
        <w:t xml:space="preserve">December and January following detailed announcements following the Autumn </w:t>
      </w:r>
      <w:r>
        <w:rPr>
          <w:rStyle w:val="endsenrhsennumparatext"/>
          <w:rFonts w:cs="Arial"/>
          <w:sz w:val="22"/>
          <w:szCs w:val="22"/>
          <w:lang w:val="en"/>
        </w:rPr>
        <w:tab/>
      </w:r>
      <w:r>
        <w:rPr>
          <w:rStyle w:val="endsenrhsennumparatext"/>
          <w:rFonts w:cs="Arial"/>
          <w:sz w:val="22"/>
          <w:szCs w:val="22"/>
          <w:lang w:val="en"/>
        </w:rPr>
        <w:tab/>
      </w:r>
      <w:r>
        <w:rPr>
          <w:rStyle w:val="endsenrhsennumparatext"/>
          <w:rFonts w:cs="Arial"/>
          <w:sz w:val="22"/>
          <w:szCs w:val="22"/>
          <w:lang w:val="en"/>
        </w:rPr>
        <w:tab/>
      </w:r>
      <w:r w:rsidR="00866D25">
        <w:rPr>
          <w:rStyle w:val="endsenrhsennumparatext"/>
          <w:rFonts w:cs="Arial"/>
          <w:sz w:val="22"/>
          <w:szCs w:val="22"/>
          <w:lang w:val="en"/>
        </w:rPr>
        <w:t xml:space="preserve">Statement when the draft MTFS is to be considered by this </w:t>
      </w:r>
      <w:r w:rsidR="00C61945">
        <w:rPr>
          <w:rStyle w:val="endsenrhsennumparatext"/>
          <w:rFonts w:cs="Arial"/>
          <w:sz w:val="22"/>
          <w:szCs w:val="22"/>
          <w:lang w:val="en"/>
        </w:rPr>
        <w:t>C</w:t>
      </w:r>
      <w:r w:rsidR="00866D25">
        <w:rPr>
          <w:rStyle w:val="endsenrhsennumparatext"/>
          <w:rFonts w:cs="Arial"/>
          <w:sz w:val="22"/>
          <w:szCs w:val="22"/>
          <w:lang w:val="en"/>
        </w:rPr>
        <w:t xml:space="preserve">ommittee. However, at </w:t>
      </w:r>
      <w:r>
        <w:rPr>
          <w:rStyle w:val="endsenrhsennumparatext"/>
          <w:rFonts w:cs="Arial"/>
          <w:sz w:val="22"/>
          <w:szCs w:val="22"/>
          <w:lang w:val="en"/>
        </w:rPr>
        <w:tab/>
      </w:r>
      <w:r>
        <w:rPr>
          <w:rStyle w:val="endsenrhsennumparatext"/>
          <w:rFonts w:cs="Arial"/>
          <w:sz w:val="22"/>
          <w:szCs w:val="22"/>
          <w:lang w:val="en"/>
        </w:rPr>
        <w:tab/>
      </w:r>
      <w:r w:rsidR="00866D25">
        <w:rPr>
          <w:rStyle w:val="endsenrhsennumparatext"/>
          <w:rFonts w:cs="Arial"/>
          <w:sz w:val="22"/>
          <w:szCs w:val="22"/>
          <w:lang w:val="en"/>
        </w:rPr>
        <w:t xml:space="preserve">this stage </w:t>
      </w:r>
      <w:r w:rsidR="00C61945">
        <w:rPr>
          <w:rStyle w:val="endsenrhsennumparatext"/>
          <w:rFonts w:cs="Arial"/>
          <w:sz w:val="22"/>
          <w:szCs w:val="22"/>
          <w:lang w:val="en"/>
        </w:rPr>
        <w:t>M</w:t>
      </w:r>
      <w:r w:rsidR="00866D25">
        <w:rPr>
          <w:rStyle w:val="endsenrhsennumparatext"/>
          <w:rFonts w:cs="Arial"/>
          <w:sz w:val="22"/>
          <w:szCs w:val="22"/>
          <w:lang w:val="en"/>
        </w:rPr>
        <w:t xml:space="preserve">embers should be concerned about the call on the </w:t>
      </w:r>
      <w:r w:rsidR="00C61945">
        <w:rPr>
          <w:rStyle w:val="endsenrhsennumparatext"/>
          <w:rFonts w:cs="Arial"/>
          <w:sz w:val="22"/>
          <w:szCs w:val="22"/>
          <w:lang w:val="en"/>
        </w:rPr>
        <w:t>G</w:t>
      </w:r>
      <w:r w:rsidR="00866D25">
        <w:rPr>
          <w:rStyle w:val="endsenrhsennumparatext"/>
          <w:rFonts w:cs="Arial"/>
          <w:sz w:val="22"/>
          <w:szCs w:val="22"/>
          <w:lang w:val="en"/>
        </w:rPr>
        <w:t xml:space="preserve">eneral </w:t>
      </w:r>
      <w:r w:rsidR="00C61945">
        <w:rPr>
          <w:rStyle w:val="endsenrhsennumparatext"/>
          <w:rFonts w:cs="Arial"/>
          <w:sz w:val="22"/>
          <w:szCs w:val="22"/>
          <w:lang w:val="en"/>
        </w:rPr>
        <w:t>F</w:t>
      </w:r>
      <w:r w:rsidR="00866D25">
        <w:rPr>
          <w:rStyle w:val="endsenrhsennumparatext"/>
          <w:rFonts w:cs="Arial"/>
          <w:sz w:val="22"/>
          <w:szCs w:val="22"/>
          <w:lang w:val="en"/>
        </w:rPr>
        <w:t xml:space="preserve">und </w:t>
      </w:r>
      <w:r>
        <w:rPr>
          <w:rStyle w:val="endsenrhsennumparatext"/>
          <w:rFonts w:cs="Arial"/>
          <w:sz w:val="22"/>
          <w:szCs w:val="22"/>
          <w:lang w:val="en"/>
        </w:rPr>
        <w:tab/>
      </w:r>
      <w:r>
        <w:rPr>
          <w:rStyle w:val="endsenrhsennumparatext"/>
          <w:rFonts w:cs="Arial"/>
          <w:sz w:val="22"/>
          <w:szCs w:val="22"/>
          <w:lang w:val="en"/>
        </w:rPr>
        <w:tab/>
      </w:r>
      <w:r>
        <w:rPr>
          <w:rStyle w:val="endsenrhsennumparatext"/>
          <w:rFonts w:cs="Arial"/>
          <w:sz w:val="22"/>
          <w:szCs w:val="22"/>
          <w:lang w:val="en"/>
        </w:rPr>
        <w:tab/>
      </w:r>
      <w:r w:rsidR="00866D25">
        <w:rPr>
          <w:rStyle w:val="endsenrhsennumparatext"/>
          <w:rFonts w:cs="Arial"/>
          <w:sz w:val="22"/>
          <w:szCs w:val="22"/>
          <w:lang w:val="en"/>
        </w:rPr>
        <w:t>working balance.</w:t>
      </w:r>
    </w:p>
    <w:p w:rsidR="00B164ED" w:rsidRDefault="00B164ED" w:rsidP="00B164ED">
      <w:pPr>
        <w:ind w:left="1448" w:right="47" w:hanging="1448"/>
        <w:rPr>
          <w:rFonts w:cs="Arial"/>
          <w:bCs/>
          <w:sz w:val="22"/>
          <w:szCs w:val="22"/>
        </w:rPr>
      </w:pPr>
    </w:p>
    <w:p w:rsidR="00C61945" w:rsidRDefault="00C61945" w:rsidP="00B164ED">
      <w:pPr>
        <w:ind w:left="1448" w:right="47" w:hanging="1448"/>
        <w:rPr>
          <w:rFonts w:cs="Arial"/>
          <w:b/>
          <w:bCs/>
          <w:sz w:val="22"/>
          <w:szCs w:val="22"/>
        </w:rPr>
      </w:pPr>
      <w:r>
        <w:rPr>
          <w:rFonts w:cs="Arial"/>
          <w:bCs/>
          <w:sz w:val="22"/>
          <w:szCs w:val="22"/>
        </w:rPr>
        <w:tab/>
      </w:r>
      <w:r w:rsidRPr="00C61945">
        <w:rPr>
          <w:rFonts w:cs="Arial"/>
          <w:b/>
          <w:bCs/>
          <w:sz w:val="22"/>
          <w:szCs w:val="22"/>
        </w:rPr>
        <w:t>(For information)</w:t>
      </w:r>
    </w:p>
    <w:p w:rsidR="00C61945" w:rsidRDefault="00C61945" w:rsidP="00B164ED">
      <w:pPr>
        <w:ind w:left="1448" w:right="47" w:hanging="1448"/>
        <w:rPr>
          <w:rFonts w:cs="Arial"/>
          <w:b/>
          <w:bCs/>
          <w:sz w:val="22"/>
          <w:szCs w:val="22"/>
        </w:rPr>
      </w:pPr>
    </w:p>
    <w:p w:rsidR="00C61945" w:rsidRDefault="00C61945" w:rsidP="00B164ED">
      <w:pPr>
        <w:ind w:left="1448" w:right="47" w:hanging="1448"/>
        <w:rPr>
          <w:rFonts w:cs="Arial"/>
          <w:b/>
          <w:bCs/>
          <w:sz w:val="22"/>
          <w:szCs w:val="22"/>
        </w:rPr>
      </w:pPr>
      <w:r>
        <w:rPr>
          <w:rFonts w:cs="Arial"/>
          <w:b/>
          <w:bCs/>
          <w:sz w:val="22"/>
          <w:szCs w:val="22"/>
        </w:rPr>
        <w:tab/>
        <w:t>Background Papers</w:t>
      </w:r>
    </w:p>
    <w:p w:rsidR="00C61945" w:rsidRDefault="00C61945" w:rsidP="00B164ED">
      <w:pPr>
        <w:ind w:left="1448" w:right="47" w:hanging="1448"/>
        <w:rPr>
          <w:rFonts w:cs="Arial"/>
          <w:b/>
          <w:bCs/>
          <w:sz w:val="22"/>
          <w:szCs w:val="22"/>
        </w:rPr>
      </w:pPr>
    </w:p>
    <w:p w:rsidR="00A7790C" w:rsidRPr="00C61945" w:rsidRDefault="00C61945" w:rsidP="00C61945">
      <w:pPr>
        <w:ind w:left="1448" w:right="47" w:hanging="1448"/>
        <w:rPr>
          <w:rFonts w:cs="Arial"/>
          <w:bCs/>
          <w:sz w:val="22"/>
          <w:szCs w:val="22"/>
        </w:rPr>
      </w:pPr>
      <w:r>
        <w:rPr>
          <w:rFonts w:cs="Arial"/>
          <w:b/>
          <w:bCs/>
          <w:sz w:val="22"/>
          <w:szCs w:val="22"/>
        </w:rPr>
        <w:tab/>
      </w:r>
      <w:r w:rsidRPr="00C61945">
        <w:rPr>
          <w:rFonts w:cs="Arial"/>
          <w:bCs/>
          <w:sz w:val="22"/>
          <w:szCs w:val="22"/>
        </w:rPr>
        <w:t>None stated</w:t>
      </w:r>
    </w:p>
    <w:sectPr w:rsidR="00A7790C" w:rsidRPr="00C61945" w:rsidSect="00D3194A">
      <w:footerReference w:type="default" r:id="rId10"/>
      <w:pgSz w:w="11909" w:h="16834" w:code="9"/>
      <w:pgMar w:top="720" w:right="1080" w:bottom="720" w:left="1152" w:header="706" w:footer="706"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B5" w:rsidRDefault="000431B5">
      <w:r>
        <w:separator/>
      </w:r>
    </w:p>
  </w:endnote>
  <w:endnote w:type="continuationSeparator" w:id="0">
    <w:p w:rsidR="000431B5" w:rsidRDefault="0004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094202"/>
      <w:docPartObj>
        <w:docPartGallery w:val="Page Numbers (Bottom of Page)"/>
        <w:docPartUnique/>
      </w:docPartObj>
    </w:sdtPr>
    <w:sdtEndPr>
      <w:rPr>
        <w:noProof/>
      </w:rPr>
    </w:sdtEndPr>
    <w:sdtContent>
      <w:p w:rsidR="000431B5" w:rsidRDefault="000431B5">
        <w:pPr>
          <w:pStyle w:val="Footer"/>
          <w:jc w:val="center"/>
          <w:rPr>
            <w:noProof/>
          </w:rPr>
        </w:pPr>
        <w:r>
          <w:fldChar w:fldCharType="begin"/>
        </w:r>
        <w:r>
          <w:instrText xml:space="preserve"> PAGE   \* MERGEFORMAT </w:instrText>
        </w:r>
        <w:r>
          <w:fldChar w:fldCharType="separate"/>
        </w:r>
        <w:r w:rsidR="006F20B3">
          <w:rPr>
            <w:noProof/>
          </w:rPr>
          <w:t>- 1 -</w:t>
        </w:r>
        <w:r>
          <w:rPr>
            <w:noProof/>
          </w:rPr>
          <w:fldChar w:fldCharType="end"/>
        </w:r>
      </w:p>
      <w:p w:rsidR="000431B5" w:rsidRDefault="006F20B3">
        <w:pPr>
          <w:pStyle w:val="Footer"/>
          <w:jc w:val="center"/>
        </w:pPr>
      </w:p>
    </w:sdtContent>
  </w:sdt>
  <w:p w:rsidR="000431B5" w:rsidRDefault="00043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B5" w:rsidRDefault="000431B5">
      <w:r>
        <w:separator/>
      </w:r>
    </w:p>
  </w:footnote>
  <w:footnote w:type="continuationSeparator" w:id="0">
    <w:p w:rsidR="000431B5" w:rsidRDefault="00043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1A9"/>
    <w:multiLevelType w:val="hybridMultilevel"/>
    <w:tmpl w:val="E0E67C1A"/>
    <w:lvl w:ilvl="0" w:tplc="6158E2D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D0D67AA"/>
    <w:multiLevelType w:val="multilevel"/>
    <w:tmpl w:val="4C5843F6"/>
    <w:lvl w:ilvl="0">
      <w:start w:val="1"/>
      <w:numFmt w:val="decimal"/>
      <w:pStyle w:val="Mainnumber"/>
      <w:lvlText w:val="%1."/>
      <w:lvlJc w:val="left"/>
      <w:pPr>
        <w:tabs>
          <w:tab w:val="num" w:pos="737"/>
        </w:tabs>
        <w:ind w:left="737" w:hanging="737"/>
      </w:pPr>
      <w:rPr>
        <w:rFonts w:ascii="Arial" w:hAnsi="Arial" w:hint="default"/>
        <w:b/>
        <w:i w:val="0"/>
        <w:strike w:val="0"/>
        <w:dstrike w:val="0"/>
        <w:vanish w:val="0"/>
        <w:color w:val="000000"/>
        <w:sz w:val="24"/>
        <w:vertAlign w:val="baseline"/>
      </w:rPr>
    </w:lvl>
    <w:lvl w:ilvl="1">
      <w:start w:val="1"/>
      <w:numFmt w:val="decimal"/>
      <w:pStyle w:val="Subnumber"/>
      <w:lvlText w:val="%1.%2"/>
      <w:lvlJc w:val="left"/>
      <w:pPr>
        <w:tabs>
          <w:tab w:val="num" w:pos="737"/>
        </w:tabs>
        <w:ind w:left="737" w:hanging="737"/>
      </w:pPr>
      <w:rPr>
        <w:rFonts w:ascii="Arial" w:hAnsi="Arial" w:hint="default"/>
        <w:b w:val="0"/>
        <w:i w:val="0"/>
        <w:caps w:val="0"/>
        <w:strike w:val="0"/>
        <w:dstrike w:val="0"/>
        <w:vanish w:val="0"/>
        <w:color w:val="auto"/>
        <w:sz w:val="24"/>
        <w:vertAlign w:val="baseline"/>
      </w:rPr>
    </w:lvl>
    <w:lvl w:ilvl="2">
      <w:start w:val="1"/>
      <w:numFmt w:val="lowerLetter"/>
      <w:lvlText w:val="(%3)"/>
      <w:lvlJc w:val="left"/>
      <w:pPr>
        <w:tabs>
          <w:tab w:val="num" w:pos="1304"/>
        </w:tabs>
        <w:ind w:left="1304" w:hanging="567"/>
      </w:pPr>
      <w:rPr>
        <w:rFonts w:ascii="Arial" w:hAnsi="Arial" w:hint="default"/>
        <w:b w:val="0"/>
        <w:i w:val="0"/>
        <w:caps w:val="0"/>
        <w:strike w:val="0"/>
        <w:dstrike w:val="0"/>
        <w:vanish w:val="0"/>
        <w:color w:val="000000"/>
        <w:sz w:val="24"/>
        <w:vertAlign w:val="baseline"/>
      </w:rPr>
    </w:lvl>
    <w:lvl w:ilvl="3">
      <w:start w:val="1"/>
      <w:numFmt w:val="lowerRoman"/>
      <w:lvlText w:val="%4)"/>
      <w:lvlJc w:val="left"/>
      <w:pPr>
        <w:tabs>
          <w:tab w:val="num" w:pos="2024"/>
        </w:tabs>
        <w:ind w:left="1871" w:hanging="567"/>
      </w:pPr>
      <w:rPr>
        <w:rFonts w:ascii="Arial" w:hAnsi="Arial" w:hint="default"/>
        <w:b w:val="0"/>
        <w:i w:val="0"/>
        <w:caps w:val="0"/>
        <w:strike w:val="0"/>
        <w:dstrike w:val="0"/>
        <w:vanish w:val="0"/>
        <w:sz w:val="24"/>
        <w:vertAlign w:val="base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9921A1F"/>
    <w:multiLevelType w:val="hybridMultilevel"/>
    <w:tmpl w:val="B7968B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1A4336D2"/>
    <w:multiLevelType w:val="multilevel"/>
    <w:tmpl w:val="151C16CA"/>
    <w:lvl w:ilvl="0">
      <w:start w:val="1"/>
      <w:numFmt w:val="decimal"/>
      <w:lvlText w:val="%1."/>
      <w:lvlJc w:val="left"/>
      <w:pPr>
        <w:ind w:left="1455" w:hanging="735"/>
      </w:pPr>
      <w:rPr>
        <w:b w:val="0"/>
      </w:rPr>
    </w:lvl>
    <w:lvl w:ilvl="1">
      <w:start w:val="1"/>
      <w:numFmt w:val="decimal"/>
      <w:isLgl/>
      <w:lvlText w:val="%1.%2"/>
      <w:lvlJc w:val="left"/>
      <w:pPr>
        <w:ind w:left="1125" w:hanging="360"/>
      </w:pPr>
      <w:rPr>
        <w:rFonts w:ascii="Arial" w:hAnsi="Arial" w:cs="Arial" w:hint="default"/>
        <w:sz w:val="22"/>
        <w:szCs w:val="22"/>
      </w:rPr>
    </w:lvl>
    <w:lvl w:ilvl="2">
      <w:start w:val="1"/>
      <w:numFmt w:val="decimal"/>
      <w:isLgl/>
      <w:lvlText w:val="%1.%2.%3"/>
      <w:lvlJc w:val="left"/>
      <w:pPr>
        <w:ind w:left="1530" w:hanging="720"/>
      </w:pPr>
    </w:lvl>
    <w:lvl w:ilvl="3">
      <w:start w:val="1"/>
      <w:numFmt w:val="decimal"/>
      <w:isLgl/>
      <w:lvlText w:val="%1.%2.%3.%4"/>
      <w:lvlJc w:val="left"/>
      <w:pPr>
        <w:ind w:left="1575" w:hanging="720"/>
      </w:pPr>
    </w:lvl>
    <w:lvl w:ilvl="4">
      <w:start w:val="1"/>
      <w:numFmt w:val="decimal"/>
      <w:isLgl/>
      <w:lvlText w:val="%1.%2.%3.%4.%5"/>
      <w:lvlJc w:val="left"/>
      <w:pPr>
        <w:ind w:left="1980" w:hanging="1080"/>
      </w:pPr>
    </w:lvl>
    <w:lvl w:ilvl="5">
      <w:start w:val="1"/>
      <w:numFmt w:val="decimal"/>
      <w:isLgl/>
      <w:lvlText w:val="%1.%2.%3.%4.%5.%6"/>
      <w:lvlJc w:val="left"/>
      <w:pPr>
        <w:ind w:left="2025" w:hanging="1080"/>
      </w:pPr>
    </w:lvl>
    <w:lvl w:ilvl="6">
      <w:start w:val="1"/>
      <w:numFmt w:val="decimal"/>
      <w:isLgl/>
      <w:lvlText w:val="%1.%2.%3.%4.%5.%6.%7"/>
      <w:lvlJc w:val="left"/>
      <w:pPr>
        <w:ind w:left="2430" w:hanging="1440"/>
      </w:pPr>
    </w:lvl>
    <w:lvl w:ilvl="7">
      <w:start w:val="1"/>
      <w:numFmt w:val="decimal"/>
      <w:isLgl/>
      <w:lvlText w:val="%1.%2.%3.%4.%5.%6.%7.%8"/>
      <w:lvlJc w:val="left"/>
      <w:pPr>
        <w:ind w:left="2475" w:hanging="1440"/>
      </w:pPr>
    </w:lvl>
    <w:lvl w:ilvl="8">
      <w:start w:val="1"/>
      <w:numFmt w:val="decimal"/>
      <w:isLgl/>
      <w:lvlText w:val="%1.%2.%3.%4.%5.%6.%7.%8.%9"/>
      <w:lvlJc w:val="left"/>
      <w:pPr>
        <w:ind w:left="2880" w:hanging="1800"/>
      </w:pPr>
    </w:lvl>
  </w:abstractNum>
  <w:abstractNum w:abstractNumId="4">
    <w:nsid w:val="1E997FF7"/>
    <w:multiLevelType w:val="hybridMultilevel"/>
    <w:tmpl w:val="DA0808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21282436"/>
    <w:multiLevelType w:val="hybridMultilevel"/>
    <w:tmpl w:val="EDA09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18D62F8"/>
    <w:multiLevelType w:val="multilevel"/>
    <w:tmpl w:val="D540758E"/>
    <w:lvl w:ilvl="0">
      <w:start w:val="1"/>
      <w:numFmt w:val="none"/>
      <w:pStyle w:val="Subtitl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7A47E8"/>
    <w:multiLevelType w:val="hybridMultilevel"/>
    <w:tmpl w:val="C24C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55E38A3"/>
    <w:multiLevelType w:val="multilevel"/>
    <w:tmpl w:val="E4702456"/>
    <w:lvl w:ilvl="0">
      <w:start w:val="1"/>
      <w:numFmt w:val="decimal"/>
      <w:lvlText w:val="%1"/>
      <w:lvlJc w:val="left"/>
      <w:pPr>
        <w:ind w:left="360" w:hanging="360"/>
      </w:pPr>
      <w:rPr>
        <w:rFonts w:ascii="Helv" w:hAnsi="Helv" w:hint="default"/>
        <w:color w:val="000000"/>
      </w:rPr>
    </w:lvl>
    <w:lvl w:ilvl="1">
      <w:start w:val="1"/>
      <w:numFmt w:val="decimal"/>
      <w:lvlText w:val="%1.%2"/>
      <w:lvlJc w:val="left"/>
      <w:pPr>
        <w:ind w:left="1080" w:hanging="360"/>
      </w:pPr>
      <w:rPr>
        <w:rFonts w:ascii="Helv" w:hAnsi="Helv" w:hint="default"/>
        <w:color w:val="000000"/>
      </w:rPr>
    </w:lvl>
    <w:lvl w:ilvl="2">
      <w:start w:val="1"/>
      <w:numFmt w:val="decimal"/>
      <w:lvlText w:val="%1.%2.%3"/>
      <w:lvlJc w:val="left"/>
      <w:pPr>
        <w:ind w:left="2160" w:hanging="720"/>
      </w:pPr>
      <w:rPr>
        <w:rFonts w:ascii="Helv" w:hAnsi="Helv" w:hint="default"/>
        <w:color w:val="000000"/>
      </w:rPr>
    </w:lvl>
    <w:lvl w:ilvl="3">
      <w:start w:val="1"/>
      <w:numFmt w:val="decimal"/>
      <w:lvlText w:val="%1.%2.%3.%4"/>
      <w:lvlJc w:val="left"/>
      <w:pPr>
        <w:ind w:left="2880" w:hanging="720"/>
      </w:pPr>
      <w:rPr>
        <w:rFonts w:ascii="Helv" w:hAnsi="Helv" w:hint="default"/>
        <w:color w:val="000000"/>
      </w:rPr>
    </w:lvl>
    <w:lvl w:ilvl="4">
      <w:start w:val="1"/>
      <w:numFmt w:val="decimal"/>
      <w:lvlText w:val="%1.%2.%3.%4.%5"/>
      <w:lvlJc w:val="left"/>
      <w:pPr>
        <w:ind w:left="3960" w:hanging="1080"/>
      </w:pPr>
      <w:rPr>
        <w:rFonts w:ascii="Helv" w:hAnsi="Helv" w:hint="default"/>
        <w:color w:val="000000"/>
      </w:rPr>
    </w:lvl>
    <w:lvl w:ilvl="5">
      <w:start w:val="1"/>
      <w:numFmt w:val="decimal"/>
      <w:lvlText w:val="%1.%2.%3.%4.%5.%6"/>
      <w:lvlJc w:val="left"/>
      <w:pPr>
        <w:ind w:left="4680" w:hanging="1080"/>
      </w:pPr>
      <w:rPr>
        <w:rFonts w:ascii="Helv" w:hAnsi="Helv" w:hint="default"/>
        <w:color w:val="000000"/>
      </w:rPr>
    </w:lvl>
    <w:lvl w:ilvl="6">
      <w:start w:val="1"/>
      <w:numFmt w:val="decimal"/>
      <w:lvlText w:val="%1.%2.%3.%4.%5.%6.%7"/>
      <w:lvlJc w:val="left"/>
      <w:pPr>
        <w:ind w:left="5760" w:hanging="1440"/>
      </w:pPr>
      <w:rPr>
        <w:rFonts w:ascii="Helv" w:hAnsi="Helv" w:hint="default"/>
        <w:color w:val="000000"/>
      </w:rPr>
    </w:lvl>
    <w:lvl w:ilvl="7">
      <w:start w:val="1"/>
      <w:numFmt w:val="decimal"/>
      <w:lvlText w:val="%1.%2.%3.%4.%5.%6.%7.%8"/>
      <w:lvlJc w:val="left"/>
      <w:pPr>
        <w:ind w:left="6480" w:hanging="1440"/>
      </w:pPr>
      <w:rPr>
        <w:rFonts w:ascii="Helv" w:hAnsi="Helv" w:hint="default"/>
        <w:color w:val="000000"/>
      </w:rPr>
    </w:lvl>
    <w:lvl w:ilvl="8">
      <w:start w:val="1"/>
      <w:numFmt w:val="decimal"/>
      <w:lvlText w:val="%1.%2.%3.%4.%5.%6.%7.%8.%9"/>
      <w:lvlJc w:val="left"/>
      <w:pPr>
        <w:ind w:left="7560" w:hanging="1800"/>
      </w:pPr>
      <w:rPr>
        <w:rFonts w:ascii="Helv" w:hAnsi="Helv" w:hint="default"/>
        <w:color w:val="000000"/>
      </w:rPr>
    </w:lvl>
  </w:abstractNum>
  <w:abstractNum w:abstractNumId="9">
    <w:nsid w:val="25DE5EA2"/>
    <w:multiLevelType w:val="hybridMultilevel"/>
    <w:tmpl w:val="A0E63B7A"/>
    <w:lvl w:ilvl="0" w:tplc="0F06BEA0">
      <w:start w:val="3"/>
      <w:numFmt w:val="bullet"/>
      <w:lvlText w:val="-"/>
      <w:lvlJc w:val="left"/>
      <w:pPr>
        <w:ind w:left="1069" w:hanging="360"/>
      </w:pPr>
      <w:rPr>
        <w:rFonts w:ascii="Arial" w:eastAsia="Times New Roman" w:hAnsi="Arial" w:cs="Aria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0">
    <w:nsid w:val="29D1044E"/>
    <w:multiLevelType w:val="multilevel"/>
    <w:tmpl w:val="10E44B90"/>
    <w:lvl w:ilvl="0">
      <w:start w:val="1"/>
      <w:numFmt w:val="decimal"/>
      <w:lvlText w:val="%1."/>
      <w:lvlJc w:val="left"/>
      <w:pPr>
        <w:ind w:left="1455" w:hanging="735"/>
      </w:pPr>
      <w:rPr>
        <w:b w:val="0"/>
      </w:rPr>
    </w:lvl>
    <w:lvl w:ilvl="1">
      <w:start w:val="6"/>
      <w:numFmt w:val="decimal"/>
      <w:isLgl/>
      <w:lvlText w:val="%1.%2"/>
      <w:lvlJc w:val="left"/>
      <w:pPr>
        <w:ind w:left="1080" w:hanging="36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2A123AA8"/>
    <w:multiLevelType w:val="multilevel"/>
    <w:tmpl w:val="1D08111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2FE35CFA"/>
    <w:multiLevelType w:val="multilevel"/>
    <w:tmpl w:val="613EDB3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313E4E8C"/>
    <w:multiLevelType w:val="multilevel"/>
    <w:tmpl w:val="976CB2B4"/>
    <w:lvl w:ilvl="0">
      <w:start w:val="1"/>
      <w:numFmt w:val="decimal"/>
      <w:lvlText w:val="%1."/>
      <w:lvlJc w:val="left"/>
      <w:pPr>
        <w:ind w:left="1455" w:hanging="735"/>
      </w:pPr>
      <w:rPr>
        <w:b w:val="0"/>
      </w:rPr>
    </w:lvl>
    <w:lvl w:ilvl="1">
      <w:start w:val="1"/>
      <w:numFmt w:val="decimal"/>
      <w:isLgl/>
      <w:lvlText w:val="%1.%2"/>
      <w:lvlJc w:val="left"/>
      <w:pPr>
        <w:ind w:left="1125" w:hanging="360"/>
      </w:pPr>
      <w:rPr>
        <w:rFonts w:ascii="Arial" w:hAnsi="Arial" w:cs="Arial" w:hint="default"/>
        <w:sz w:val="22"/>
        <w:szCs w:val="22"/>
      </w:rPr>
    </w:lvl>
    <w:lvl w:ilvl="2">
      <w:start w:val="1"/>
      <w:numFmt w:val="decimal"/>
      <w:isLgl/>
      <w:lvlText w:val="%1.%2.%3"/>
      <w:lvlJc w:val="left"/>
      <w:pPr>
        <w:ind w:left="1530" w:hanging="720"/>
      </w:pPr>
    </w:lvl>
    <w:lvl w:ilvl="3">
      <w:start w:val="1"/>
      <w:numFmt w:val="decimal"/>
      <w:isLgl/>
      <w:lvlText w:val="%1.%2.%3.%4"/>
      <w:lvlJc w:val="left"/>
      <w:pPr>
        <w:ind w:left="1575" w:hanging="720"/>
      </w:pPr>
    </w:lvl>
    <w:lvl w:ilvl="4">
      <w:start w:val="1"/>
      <w:numFmt w:val="decimal"/>
      <w:isLgl/>
      <w:lvlText w:val="%1.%2.%3.%4.%5"/>
      <w:lvlJc w:val="left"/>
      <w:pPr>
        <w:ind w:left="1980" w:hanging="1080"/>
      </w:pPr>
    </w:lvl>
    <w:lvl w:ilvl="5">
      <w:start w:val="1"/>
      <w:numFmt w:val="decimal"/>
      <w:isLgl/>
      <w:lvlText w:val="%1.%2.%3.%4.%5.%6"/>
      <w:lvlJc w:val="left"/>
      <w:pPr>
        <w:ind w:left="2025" w:hanging="1080"/>
      </w:pPr>
    </w:lvl>
    <w:lvl w:ilvl="6">
      <w:start w:val="1"/>
      <w:numFmt w:val="decimal"/>
      <w:isLgl/>
      <w:lvlText w:val="%1.%2.%3.%4.%5.%6.%7"/>
      <w:lvlJc w:val="left"/>
      <w:pPr>
        <w:ind w:left="2430" w:hanging="1440"/>
      </w:pPr>
    </w:lvl>
    <w:lvl w:ilvl="7">
      <w:start w:val="1"/>
      <w:numFmt w:val="decimal"/>
      <w:isLgl/>
      <w:lvlText w:val="%1.%2.%3.%4.%5.%6.%7.%8"/>
      <w:lvlJc w:val="left"/>
      <w:pPr>
        <w:ind w:left="2475" w:hanging="1440"/>
      </w:pPr>
    </w:lvl>
    <w:lvl w:ilvl="8">
      <w:start w:val="1"/>
      <w:numFmt w:val="decimal"/>
      <w:isLgl/>
      <w:lvlText w:val="%1.%2.%3.%4.%5.%6.%7.%8.%9"/>
      <w:lvlJc w:val="left"/>
      <w:pPr>
        <w:ind w:left="2880" w:hanging="1800"/>
      </w:pPr>
    </w:lvl>
  </w:abstractNum>
  <w:abstractNum w:abstractNumId="14">
    <w:nsid w:val="32E531E7"/>
    <w:multiLevelType w:val="hybridMultilevel"/>
    <w:tmpl w:val="0E3A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3F75BA0"/>
    <w:multiLevelType w:val="multilevel"/>
    <w:tmpl w:val="B64E4FFC"/>
    <w:lvl w:ilvl="0">
      <w:start w:val="3"/>
      <w:numFmt w:val="decimal"/>
      <w:lvlText w:val="%1"/>
      <w:lvlJc w:val="left"/>
      <w:pPr>
        <w:tabs>
          <w:tab w:val="num" w:pos="360"/>
        </w:tabs>
        <w:ind w:left="360" w:hanging="360"/>
      </w:pPr>
    </w:lvl>
    <w:lvl w:ilvl="1">
      <w:start w:val="1"/>
      <w:numFmt w:val="decimal"/>
      <w:lvlText w:val="%1.%2"/>
      <w:lvlJc w:val="left"/>
      <w:pPr>
        <w:tabs>
          <w:tab w:val="num" w:pos="4896"/>
        </w:tabs>
        <w:ind w:left="489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42E1588"/>
    <w:multiLevelType w:val="multilevel"/>
    <w:tmpl w:val="8C147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A7D7B88"/>
    <w:multiLevelType w:val="hybridMultilevel"/>
    <w:tmpl w:val="DA22F7C4"/>
    <w:lvl w:ilvl="0" w:tplc="F6D00F4A">
      <w:start w:val="1"/>
      <w:numFmt w:val="lowerRoman"/>
      <w:lvlText w:val="%1)"/>
      <w:lvlJc w:val="left"/>
      <w:pPr>
        <w:ind w:left="2250" w:hanging="720"/>
      </w:pPr>
    </w:lvl>
    <w:lvl w:ilvl="1" w:tplc="08090019">
      <w:start w:val="1"/>
      <w:numFmt w:val="lowerLetter"/>
      <w:lvlText w:val="%2."/>
      <w:lvlJc w:val="left"/>
      <w:pPr>
        <w:ind w:left="2610" w:hanging="360"/>
      </w:pPr>
    </w:lvl>
    <w:lvl w:ilvl="2" w:tplc="0809001B">
      <w:start w:val="1"/>
      <w:numFmt w:val="lowerRoman"/>
      <w:lvlText w:val="%3."/>
      <w:lvlJc w:val="right"/>
      <w:pPr>
        <w:ind w:left="3330" w:hanging="180"/>
      </w:pPr>
    </w:lvl>
    <w:lvl w:ilvl="3" w:tplc="0809000F">
      <w:start w:val="1"/>
      <w:numFmt w:val="decimal"/>
      <w:lvlText w:val="%4."/>
      <w:lvlJc w:val="left"/>
      <w:pPr>
        <w:ind w:left="4050" w:hanging="360"/>
      </w:pPr>
    </w:lvl>
    <w:lvl w:ilvl="4" w:tplc="08090019">
      <w:start w:val="1"/>
      <w:numFmt w:val="lowerLetter"/>
      <w:lvlText w:val="%5."/>
      <w:lvlJc w:val="left"/>
      <w:pPr>
        <w:ind w:left="4770" w:hanging="360"/>
      </w:pPr>
    </w:lvl>
    <w:lvl w:ilvl="5" w:tplc="0809001B">
      <w:start w:val="1"/>
      <w:numFmt w:val="lowerRoman"/>
      <w:lvlText w:val="%6."/>
      <w:lvlJc w:val="right"/>
      <w:pPr>
        <w:ind w:left="5490" w:hanging="180"/>
      </w:pPr>
    </w:lvl>
    <w:lvl w:ilvl="6" w:tplc="0809000F">
      <w:start w:val="1"/>
      <w:numFmt w:val="decimal"/>
      <w:lvlText w:val="%7."/>
      <w:lvlJc w:val="left"/>
      <w:pPr>
        <w:ind w:left="6210" w:hanging="360"/>
      </w:pPr>
    </w:lvl>
    <w:lvl w:ilvl="7" w:tplc="08090019">
      <w:start w:val="1"/>
      <w:numFmt w:val="lowerLetter"/>
      <w:lvlText w:val="%8."/>
      <w:lvlJc w:val="left"/>
      <w:pPr>
        <w:ind w:left="6930" w:hanging="360"/>
      </w:pPr>
    </w:lvl>
    <w:lvl w:ilvl="8" w:tplc="0809001B">
      <w:start w:val="1"/>
      <w:numFmt w:val="lowerRoman"/>
      <w:lvlText w:val="%9."/>
      <w:lvlJc w:val="right"/>
      <w:pPr>
        <w:ind w:left="7650" w:hanging="180"/>
      </w:pPr>
    </w:lvl>
  </w:abstractNum>
  <w:abstractNum w:abstractNumId="18">
    <w:nsid w:val="3B557A1B"/>
    <w:multiLevelType w:val="hybridMultilevel"/>
    <w:tmpl w:val="6150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CA017FA"/>
    <w:multiLevelType w:val="multilevel"/>
    <w:tmpl w:val="50FA00C4"/>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0">
    <w:nsid w:val="3CAD7C82"/>
    <w:multiLevelType w:val="multilevel"/>
    <w:tmpl w:val="BDFC159A"/>
    <w:lvl w:ilvl="0">
      <w:start w:val="1"/>
      <w:numFmt w:val="bullet"/>
      <w:pStyle w:val="EYBulletedtext1"/>
      <w:lvlText w:val=""/>
      <w:lvlJc w:val="left"/>
      <w:pPr>
        <w:tabs>
          <w:tab w:val="num" w:pos="425"/>
        </w:tabs>
        <w:ind w:left="425" w:hanging="425"/>
      </w:pPr>
      <w:rPr>
        <w:rFonts w:ascii="Wingdings 3" w:hAnsi="Wingdings 3" w:hint="default"/>
        <w:color w:val="auto"/>
        <w:szCs w:val="24"/>
      </w:rPr>
    </w:lvl>
    <w:lvl w:ilvl="1">
      <w:start w:val="1"/>
      <w:numFmt w:val="bullet"/>
      <w:pStyle w:val="EYBulletedtext2"/>
      <w:lvlText w:val=""/>
      <w:lvlJc w:val="left"/>
      <w:pPr>
        <w:tabs>
          <w:tab w:val="num" w:pos="851"/>
        </w:tabs>
        <w:ind w:left="851" w:hanging="426"/>
      </w:pPr>
      <w:rPr>
        <w:rFonts w:ascii="Wingdings 3" w:hAnsi="Wingdings 3" w:hint="default"/>
        <w:color w:val="auto"/>
        <w:szCs w:val="24"/>
      </w:rPr>
    </w:lvl>
    <w:lvl w:ilvl="2">
      <w:start w:val="1"/>
      <w:numFmt w:val="bullet"/>
      <w:pStyle w:val="EYBulletedtext3"/>
      <w:lvlText w:val=""/>
      <w:lvlJc w:val="left"/>
      <w:pPr>
        <w:tabs>
          <w:tab w:val="num" w:pos="1276"/>
        </w:tabs>
        <w:ind w:left="1276" w:hanging="425"/>
      </w:pPr>
      <w:rPr>
        <w:rFonts w:ascii="Wingdings 3" w:hAnsi="Wingdings 3" w:hint="default"/>
        <w:color w:val="auto"/>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21">
    <w:nsid w:val="413A0F13"/>
    <w:multiLevelType w:val="hybridMultilevel"/>
    <w:tmpl w:val="06EC0E7E"/>
    <w:lvl w:ilvl="0" w:tplc="FABCBC72">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nsid w:val="47072372"/>
    <w:multiLevelType w:val="hybridMultilevel"/>
    <w:tmpl w:val="243C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F1B1658"/>
    <w:multiLevelType w:val="hybridMultilevel"/>
    <w:tmpl w:val="CB7846C2"/>
    <w:lvl w:ilvl="0" w:tplc="E35A83DA">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03A0C72"/>
    <w:multiLevelType w:val="hybridMultilevel"/>
    <w:tmpl w:val="A0E88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17B293F"/>
    <w:multiLevelType w:val="multilevel"/>
    <w:tmpl w:val="2A66DEC2"/>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3FE7B8D"/>
    <w:multiLevelType w:val="multilevel"/>
    <w:tmpl w:val="C99AA2A4"/>
    <w:lvl w:ilvl="0">
      <w:start w:val="2"/>
      <w:numFmt w:val="decimal"/>
      <w:lvlText w:val="%1"/>
      <w:lvlJc w:val="left"/>
      <w:pPr>
        <w:ind w:left="375" w:hanging="375"/>
      </w:pPr>
    </w:lvl>
    <w:lvl w:ilvl="1">
      <w:start w:val="10"/>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BB5795C"/>
    <w:multiLevelType w:val="hybridMultilevel"/>
    <w:tmpl w:val="2ECA7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CA27B05"/>
    <w:multiLevelType w:val="hybridMultilevel"/>
    <w:tmpl w:val="F65CF012"/>
    <w:lvl w:ilvl="0" w:tplc="C8C0E58A">
      <w:start w:val="1"/>
      <w:numFmt w:val="bullet"/>
      <w:lvlText w:val=""/>
      <w:lvlJc w:val="left"/>
      <w:pPr>
        <w:tabs>
          <w:tab w:val="num" w:pos="870"/>
        </w:tabs>
        <w:ind w:left="870" w:hanging="360"/>
      </w:pPr>
      <w:rPr>
        <w:rFonts w:ascii="Symbol" w:hAnsi="Symbol" w:hint="default"/>
        <w:color w:val="auto"/>
      </w:rPr>
    </w:lvl>
    <w:lvl w:ilvl="1" w:tplc="08090003">
      <w:start w:val="1"/>
      <w:numFmt w:val="bullet"/>
      <w:lvlText w:val="o"/>
      <w:lvlJc w:val="left"/>
      <w:pPr>
        <w:tabs>
          <w:tab w:val="num" w:pos="1590"/>
        </w:tabs>
        <w:ind w:left="1590" w:hanging="360"/>
      </w:pPr>
      <w:rPr>
        <w:rFonts w:ascii="Courier New" w:hAnsi="Courier New" w:cs="Courier New" w:hint="default"/>
      </w:rPr>
    </w:lvl>
    <w:lvl w:ilvl="2" w:tplc="08090005">
      <w:start w:val="1"/>
      <w:numFmt w:val="bullet"/>
      <w:lvlText w:val=""/>
      <w:lvlJc w:val="left"/>
      <w:pPr>
        <w:tabs>
          <w:tab w:val="num" w:pos="2310"/>
        </w:tabs>
        <w:ind w:left="2310" w:hanging="360"/>
      </w:pPr>
      <w:rPr>
        <w:rFonts w:ascii="Wingdings" w:hAnsi="Wingdings" w:hint="default"/>
      </w:rPr>
    </w:lvl>
    <w:lvl w:ilvl="3" w:tplc="08090001">
      <w:start w:val="1"/>
      <w:numFmt w:val="bullet"/>
      <w:lvlText w:val=""/>
      <w:lvlJc w:val="left"/>
      <w:pPr>
        <w:tabs>
          <w:tab w:val="num" w:pos="3030"/>
        </w:tabs>
        <w:ind w:left="3030" w:hanging="360"/>
      </w:pPr>
      <w:rPr>
        <w:rFonts w:ascii="Symbol" w:hAnsi="Symbol" w:hint="default"/>
      </w:rPr>
    </w:lvl>
    <w:lvl w:ilvl="4" w:tplc="08090003">
      <w:start w:val="1"/>
      <w:numFmt w:val="bullet"/>
      <w:lvlText w:val="o"/>
      <w:lvlJc w:val="left"/>
      <w:pPr>
        <w:tabs>
          <w:tab w:val="num" w:pos="3750"/>
        </w:tabs>
        <w:ind w:left="3750" w:hanging="360"/>
      </w:pPr>
      <w:rPr>
        <w:rFonts w:ascii="Courier New" w:hAnsi="Courier New" w:cs="Courier New" w:hint="default"/>
      </w:rPr>
    </w:lvl>
    <w:lvl w:ilvl="5" w:tplc="08090005">
      <w:start w:val="1"/>
      <w:numFmt w:val="bullet"/>
      <w:lvlText w:val=""/>
      <w:lvlJc w:val="left"/>
      <w:pPr>
        <w:tabs>
          <w:tab w:val="num" w:pos="4470"/>
        </w:tabs>
        <w:ind w:left="4470" w:hanging="360"/>
      </w:pPr>
      <w:rPr>
        <w:rFonts w:ascii="Wingdings" w:hAnsi="Wingdings" w:hint="default"/>
      </w:rPr>
    </w:lvl>
    <w:lvl w:ilvl="6" w:tplc="08090001">
      <w:start w:val="1"/>
      <w:numFmt w:val="bullet"/>
      <w:lvlText w:val=""/>
      <w:lvlJc w:val="left"/>
      <w:pPr>
        <w:tabs>
          <w:tab w:val="num" w:pos="5190"/>
        </w:tabs>
        <w:ind w:left="5190" w:hanging="360"/>
      </w:pPr>
      <w:rPr>
        <w:rFonts w:ascii="Symbol" w:hAnsi="Symbol" w:hint="default"/>
      </w:rPr>
    </w:lvl>
    <w:lvl w:ilvl="7" w:tplc="08090003">
      <w:start w:val="1"/>
      <w:numFmt w:val="bullet"/>
      <w:lvlText w:val="o"/>
      <w:lvlJc w:val="left"/>
      <w:pPr>
        <w:tabs>
          <w:tab w:val="num" w:pos="5910"/>
        </w:tabs>
        <w:ind w:left="5910" w:hanging="360"/>
      </w:pPr>
      <w:rPr>
        <w:rFonts w:ascii="Courier New" w:hAnsi="Courier New" w:cs="Courier New" w:hint="default"/>
      </w:rPr>
    </w:lvl>
    <w:lvl w:ilvl="8" w:tplc="08090005">
      <w:start w:val="1"/>
      <w:numFmt w:val="bullet"/>
      <w:lvlText w:val=""/>
      <w:lvlJc w:val="left"/>
      <w:pPr>
        <w:tabs>
          <w:tab w:val="num" w:pos="6630"/>
        </w:tabs>
        <w:ind w:left="6630" w:hanging="360"/>
      </w:pPr>
      <w:rPr>
        <w:rFonts w:ascii="Wingdings" w:hAnsi="Wingdings" w:hint="default"/>
      </w:rPr>
    </w:lvl>
  </w:abstractNum>
  <w:abstractNum w:abstractNumId="30">
    <w:nsid w:val="621B01F7"/>
    <w:multiLevelType w:val="hybridMultilevel"/>
    <w:tmpl w:val="3C34E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40011ED"/>
    <w:multiLevelType w:val="hybridMultilevel"/>
    <w:tmpl w:val="E94EFCEA"/>
    <w:lvl w:ilvl="0" w:tplc="08090001">
      <w:start w:val="1"/>
      <w:numFmt w:val="bullet"/>
      <w:lvlText w:val=""/>
      <w:lvlJc w:val="left"/>
      <w:pPr>
        <w:ind w:left="2705" w:hanging="360"/>
      </w:pPr>
      <w:rPr>
        <w:rFonts w:ascii="Symbol" w:hAnsi="Symbol" w:hint="default"/>
      </w:rPr>
    </w:lvl>
    <w:lvl w:ilvl="1" w:tplc="08090003">
      <w:start w:val="1"/>
      <w:numFmt w:val="bullet"/>
      <w:lvlText w:val="o"/>
      <w:lvlJc w:val="left"/>
      <w:pPr>
        <w:ind w:left="3425" w:hanging="360"/>
      </w:pPr>
      <w:rPr>
        <w:rFonts w:ascii="Courier New" w:hAnsi="Courier New" w:cs="Courier New" w:hint="default"/>
      </w:rPr>
    </w:lvl>
    <w:lvl w:ilvl="2" w:tplc="08090005">
      <w:start w:val="1"/>
      <w:numFmt w:val="bullet"/>
      <w:lvlText w:val=""/>
      <w:lvlJc w:val="left"/>
      <w:pPr>
        <w:ind w:left="4145" w:hanging="360"/>
      </w:pPr>
      <w:rPr>
        <w:rFonts w:ascii="Wingdings" w:hAnsi="Wingdings" w:hint="default"/>
      </w:rPr>
    </w:lvl>
    <w:lvl w:ilvl="3" w:tplc="08090001">
      <w:start w:val="1"/>
      <w:numFmt w:val="bullet"/>
      <w:lvlText w:val=""/>
      <w:lvlJc w:val="left"/>
      <w:pPr>
        <w:ind w:left="4865" w:hanging="360"/>
      </w:pPr>
      <w:rPr>
        <w:rFonts w:ascii="Symbol" w:hAnsi="Symbol" w:hint="default"/>
      </w:rPr>
    </w:lvl>
    <w:lvl w:ilvl="4" w:tplc="08090003">
      <w:start w:val="1"/>
      <w:numFmt w:val="bullet"/>
      <w:lvlText w:val="o"/>
      <w:lvlJc w:val="left"/>
      <w:pPr>
        <w:ind w:left="5585" w:hanging="360"/>
      </w:pPr>
      <w:rPr>
        <w:rFonts w:ascii="Courier New" w:hAnsi="Courier New" w:cs="Courier New" w:hint="default"/>
      </w:rPr>
    </w:lvl>
    <w:lvl w:ilvl="5" w:tplc="08090005">
      <w:start w:val="1"/>
      <w:numFmt w:val="bullet"/>
      <w:lvlText w:val=""/>
      <w:lvlJc w:val="left"/>
      <w:pPr>
        <w:ind w:left="6305" w:hanging="360"/>
      </w:pPr>
      <w:rPr>
        <w:rFonts w:ascii="Wingdings" w:hAnsi="Wingdings" w:hint="default"/>
      </w:rPr>
    </w:lvl>
    <w:lvl w:ilvl="6" w:tplc="08090001">
      <w:start w:val="1"/>
      <w:numFmt w:val="bullet"/>
      <w:lvlText w:val=""/>
      <w:lvlJc w:val="left"/>
      <w:pPr>
        <w:ind w:left="7025" w:hanging="360"/>
      </w:pPr>
      <w:rPr>
        <w:rFonts w:ascii="Symbol" w:hAnsi="Symbol" w:hint="default"/>
      </w:rPr>
    </w:lvl>
    <w:lvl w:ilvl="7" w:tplc="08090003">
      <w:start w:val="1"/>
      <w:numFmt w:val="bullet"/>
      <w:lvlText w:val="o"/>
      <w:lvlJc w:val="left"/>
      <w:pPr>
        <w:ind w:left="7745" w:hanging="360"/>
      </w:pPr>
      <w:rPr>
        <w:rFonts w:ascii="Courier New" w:hAnsi="Courier New" w:cs="Courier New" w:hint="default"/>
      </w:rPr>
    </w:lvl>
    <w:lvl w:ilvl="8" w:tplc="08090005">
      <w:start w:val="1"/>
      <w:numFmt w:val="bullet"/>
      <w:lvlText w:val=""/>
      <w:lvlJc w:val="left"/>
      <w:pPr>
        <w:ind w:left="8465" w:hanging="360"/>
      </w:pPr>
      <w:rPr>
        <w:rFonts w:ascii="Wingdings" w:hAnsi="Wingdings" w:hint="default"/>
      </w:rPr>
    </w:lvl>
  </w:abstractNum>
  <w:abstractNum w:abstractNumId="32">
    <w:nsid w:val="64D622E1"/>
    <w:multiLevelType w:val="multilevel"/>
    <w:tmpl w:val="B7048BD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66587ADC"/>
    <w:multiLevelType w:val="multilevel"/>
    <w:tmpl w:val="449A152A"/>
    <w:lvl w:ilvl="0">
      <w:start w:val="2"/>
      <w:numFmt w:val="decimal"/>
      <w:lvlText w:val="%1"/>
      <w:lvlJc w:val="left"/>
      <w:pPr>
        <w:ind w:left="480" w:hanging="480"/>
      </w:pPr>
    </w:lvl>
    <w:lvl w:ilvl="1">
      <w:start w:val="5"/>
      <w:numFmt w:val="decimal"/>
      <w:lvlText w:val="%1.%2"/>
      <w:lvlJc w:val="left"/>
      <w:pPr>
        <w:ind w:left="907" w:hanging="480"/>
      </w:pPr>
    </w:lvl>
    <w:lvl w:ilvl="2">
      <w:start w:val="2"/>
      <w:numFmt w:val="decimal"/>
      <w:lvlText w:val="%1.%2.%3"/>
      <w:lvlJc w:val="left"/>
      <w:pPr>
        <w:ind w:left="1574" w:hanging="720"/>
      </w:pPr>
      <w:rPr>
        <w:b w:val="0"/>
      </w:rPr>
    </w:lvl>
    <w:lvl w:ilvl="3">
      <w:start w:val="1"/>
      <w:numFmt w:val="decimal"/>
      <w:lvlText w:val="%1.%2.%3.%4"/>
      <w:lvlJc w:val="left"/>
      <w:pPr>
        <w:ind w:left="2001" w:hanging="720"/>
      </w:pPr>
    </w:lvl>
    <w:lvl w:ilvl="4">
      <w:start w:val="1"/>
      <w:numFmt w:val="decimal"/>
      <w:lvlText w:val="%1.%2.%3.%4.%5"/>
      <w:lvlJc w:val="left"/>
      <w:pPr>
        <w:ind w:left="2788" w:hanging="1080"/>
      </w:pPr>
    </w:lvl>
    <w:lvl w:ilvl="5">
      <w:start w:val="1"/>
      <w:numFmt w:val="decimal"/>
      <w:lvlText w:val="%1.%2.%3.%4.%5.%6"/>
      <w:lvlJc w:val="left"/>
      <w:pPr>
        <w:ind w:left="3215" w:hanging="1080"/>
      </w:pPr>
    </w:lvl>
    <w:lvl w:ilvl="6">
      <w:start w:val="1"/>
      <w:numFmt w:val="decimal"/>
      <w:lvlText w:val="%1.%2.%3.%4.%5.%6.%7"/>
      <w:lvlJc w:val="left"/>
      <w:pPr>
        <w:ind w:left="4002" w:hanging="1440"/>
      </w:pPr>
    </w:lvl>
    <w:lvl w:ilvl="7">
      <w:start w:val="1"/>
      <w:numFmt w:val="decimal"/>
      <w:lvlText w:val="%1.%2.%3.%4.%5.%6.%7.%8"/>
      <w:lvlJc w:val="left"/>
      <w:pPr>
        <w:ind w:left="4429" w:hanging="1440"/>
      </w:pPr>
    </w:lvl>
    <w:lvl w:ilvl="8">
      <w:start w:val="1"/>
      <w:numFmt w:val="decimal"/>
      <w:lvlText w:val="%1.%2.%3.%4.%5.%6.%7.%8.%9"/>
      <w:lvlJc w:val="left"/>
      <w:pPr>
        <w:ind w:left="5216" w:hanging="1800"/>
      </w:pPr>
    </w:lvl>
  </w:abstractNum>
  <w:abstractNum w:abstractNumId="34">
    <w:nsid w:val="673F27AA"/>
    <w:multiLevelType w:val="multilevel"/>
    <w:tmpl w:val="5706D2E2"/>
    <w:lvl w:ilvl="0">
      <w:start w:val="1"/>
      <w:numFmt w:val="decimal"/>
      <w:lvlText w:val="%1."/>
      <w:lvlJc w:val="left"/>
      <w:pPr>
        <w:ind w:left="1455" w:hanging="735"/>
      </w:pPr>
      <w:rPr>
        <w:b w:val="0"/>
      </w:rPr>
    </w:lvl>
    <w:lvl w:ilvl="1">
      <w:start w:val="3"/>
      <w:numFmt w:val="decimal"/>
      <w:isLgl/>
      <w:lvlText w:val="%1.%2"/>
      <w:lvlJc w:val="left"/>
      <w:pPr>
        <w:ind w:left="1125" w:hanging="360"/>
      </w:pPr>
      <w:rPr>
        <w:rFonts w:ascii="Arial" w:hAnsi="Arial" w:cs="Arial" w:hint="default"/>
        <w:sz w:val="22"/>
        <w:szCs w:val="22"/>
      </w:rPr>
    </w:lvl>
    <w:lvl w:ilvl="2">
      <w:start w:val="1"/>
      <w:numFmt w:val="decimal"/>
      <w:isLgl/>
      <w:lvlText w:val="%1.%2.%3"/>
      <w:lvlJc w:val="left"/>
      <w:pPr>
        <w:ind w:left="1530" w:hanging="720"/>
      </w:pPr>
    </w:lvl>
    <w:lvl w:ilvl="3">
      <w:start w:val="1"/>
      <w:numFmt w:val="decimal"/>
      <w:isLgl/>
      <w:lvlText w:val="%1.%2.%3.%4"/>
      <w:lvlJc w:val="left"/>
      <w:pPr>
        <w:ind w:left="1575" w:hanging="720"/>
      </w:pPr>
    </w:lvl>
    <w:lvl w:ilvl="4">
      <w:start w:val="1"/>
      <w:numFmt w:val="decimal"/>
      <w:isLgl/>
      <w:lvlText w:val="%1.%2.%3.%4.%5"/>
      <w:lvlJc w:val="left"/>
      <w:pPr>
        <w:ind w:left="1980" w:hanging="1080"/>
      </w:pPr>
    </w:lvl>
    <w:lvl w:ilvl="5">
      <w:start w:val="1"/>
      <w:numFmt w:val="decimal"/>
      <w:isLgl/>
      <w:lvlText w:val="%1.%2.%3.%4.%5.%6"/>
      <w:lvlJc w:val="left"/>
      <w:pPr>
        <w:ind w:left="2025" w:hanging="1080"/>
      </w:pPr>
    </w:lvl>
    <w:lvl w:ilvl="6">
      <w:start w:val="1"/>
      <w:numFmt w:val="decimal"/>
      <w:isLgl/>
      <w:lvlText w:val="%1.%2.%3.%4.%5.%6.%7"/>
      <w:lvlJc w:val="left"/>
      <w:pPr>
        <w:ind w:left="2430" w:hanging="1440"/>
      </w:pPr>
    </w:lvl>
    <w:lvl w:ilvl="7">
      <w:start w:val="1"/>
      <w:numFmt w:val="decimal"/>
      <w:isLgl/>
      <w:lvlText w:val="%1.%2.%3.%4.%5.%6.%7.%8"/>
      <w:lvlJc w:val="left"/>
      <w:pPr>
        <w:ind w:left="2475" w:hanging="1440"/>
      </w:pPr>
    </w:lvl>
    <w:lvl w:ilvl="8">
      <w:start w:val="1"/>
      <w:numFmt w:val="decimal"/>
      <w:isLgl/>
      <w:lvlText w:val="%1.%2.%3.%4.%5.%6.%7.%8.%9"/>
      <w:lvlJc w:val="left"/>
      <w:pPr>
        <w:ind w:left="2880" w:hanging="1800"/>
      </w:pPr>
    </w:lvl>
  </w:abstractNum>
  <w:abstractNum w:abstractNumId="35">
    <w:nsid w:val="68C04A2F"/>
    <w:multiLevelType w:val="hybridMultilevel"/>
    <w:tmpl w:val="790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9011857"/>
    <w:multiLevelType w:val="hybridMultilevel"/>
    <w:tmpl w:val="DDACC03A"/>
    <w:lvl w:ilvl="0" w:tplc="08090001">
      <w:start w:val="1"/>
      <w:numFmt w:val="bullet"/>
      <w:lvlText w:val=""/>
      <w:lvlJc w:val="left"/>
      <w:pPr>
        <w:ind w:left="720" w:hanging="360"/>
      </w:pPr>
      <w:rPr>
        <w:rFonts w:ascii="Symbol" w:hAnsi="Symbol" w:hint="default"/>
      </w:rPr>
    </w:lvl>
    <w:lvl w:ilvl="1" w:tplc="08090003" w:tentative="1">
      <w:start w:val="1"/>
      <w:numFmt w:val="bullet"/>
      <w:pStyle w:val="Heading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1038FC"/>
    <w:multiLevelType w:val="hybridMultilevel"/>
    <w:tmpl w:val="A560EE9E"/>
    <w:lvl w:ilvl="0" w:tplc="FEB2BA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1B85FDC"/>
    <w:multiLevelType w:val="multilevel"/>
    <w:tmpl w:val="AD5E8D6E"/>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77386C3F"/>
    <w:multiLevelType w:val="multilevel"/>
    <w:tmpl w:val="18E8C5C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0">
    <w:nsid w:val="7E1C4FFD"/>
    <w:multiLevelType w:val="multilevel"/>
    <w:tmpl w:val="A760932E"/>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7F2A54C7"/>
    <w:multiLevelType w:val="hybridMultilevel"/>
    <w:tmpl w:val="31EECBBA"/>
    <w:lvl w:ilvl="0" w:tplc="08090001">
      <w:start w:val="1"/>
      <w:numFmt w:val="bullet"/>
      <w:lvlText w:val=""/>
      <w:lvlJc w:val="left"/>
      <w:pPr>
        <w:ind w:left="5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
  </w:num>
  <w:num w:numId="4">
    <w:abstractNumId w:val="36"/>
  </w:num>
  <w:num w:numId="5">
    <w:abstractNumId w:val="19"/>
  </w:num>
  <w:num w:numId="6">
    <w:abstractNumId w:val="20"/>
  </w:num>
  <w:num w:numId="7">
    <w:abstractNumId w:val="10"/>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14"/>
  </w:num>
  <w:num w:numId="15">
    <w:abstractNumId w:val="9"/>
  </w:num>
  <w:num w:numId="16">
    <w:abstractNumId w:val="3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num>
  <w:num w:numId="25">
    <w:abstractNumId w:val="18"/>
  </w:num>
  <w:num w:numId="26">
    <w:abstractNumId w:val="3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8"/>
  </w:num>
  <w:num w:numId="30">
    <w:abstractNumId w:val="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4"/>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7"/>
  </w:num>
  <w:num w:numId="41">
    <w:abstractNumId w:val="5"/>
  </w:num>
  <w:num w:numId="4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F1"/>
    <w:rsid w:val="0000088B"/>
    <w:rsid w:val="000010B1"/>
    <w:rsid w:val="00001136"/>
    <w:rsid w:val="00001BEB"/>
    <w:rsid w:val="0000387F"/>
    <w:rsid w:val="00004585"/>
    <w:rsid w:val="000046B0"/>
    <w:rsid w:val="00004E69"/>
    <w:rsid w:val="000058C9"/>
    <w:rsid w:val="00005FF5"/>
    <w:rsid w:val="00007093"/>
    <w:rsid w:val="00010784"/>
    <w:rsid w:val="000116BC"/>
    <w:rsid w:val="00013E9F"/>
    <w:rsid w:val="00014D51"/>
    <w:rsid w:val="0002026B"/>
    <w:rsid w:val="00020F24"/>
    <w:rsid w:val="00021172"/>
    <w:rsid w:val="00021A9B"/>
    <w:rsid w:val="00022451"/>
    <w:rsid w:val="00022D9A"/>
    <w:rsid w:val="00022E1B"/>
    <w:rsid w:val="00023075"/>
    <w:rsid w:val="000231E4"/>
    <w:rsid w:val="0002521F"/>
    <w:rsid w:val="00025528"/>
    <w:rsid w:val="00026690"/>
    <w:rsid w:val="00026747"/>
    <w:rsid w:val="00027425"/>
    <w:rsid w:val="000276B7"/>
    <w:rsid w:val="00027936"/>
    <w:rsid w:val="00030A3E"/>
    <w:rsid w:val="00031961"/>
    <w:rsid w:val="00032169"/>
    <w:rsid w:val="0003248A"/>
    <w:rsid w:val="000331B9"/>
    <w:rsid w:val="0003356D"/>
    <w:rsid w:val="0003448E"/>
    <w:rsid w:val="00035328"/>
    <w:rsid w:val="000368F0"/>
    <w:rsid w:val="00036E65"/>
    <w:rsid w:val="00037099"/>
    <w:rsid w:val="00037722"/>
    <w:rsid w:val="000420C9"/>
    <w:rsid w:val="00042AA3"/>
    <w:rsid w:val="00042CE8"/>
    <w:rsid w:val="000431B5"/>
    <w:rsid w:val="00043356"/>
    <w:rsid w:val="0004669F"/>
    <w:rsid w:val="00047ED5"/>
    <w:rsid w:val="00050FD5"/>
    <w:rsid w:val="000538FF"/>
    <w:rsid w:val="00055066"/>
    <w:rsid w:val="0005536B"/>
    <w:rsid w:val="00055758"/>
    <w:rsid w:val="00060CA4"/>
    <w:rsid w:val="00060D94"/>
    <w:rsid w:val="00060EE9"/>
    <w:rsid w:val="000612FE"/>
    <w:rsid w:val="000616BB"/>
    <w:rsid w:val="00063F3E"/>
    <w:rsid w:val="00064113"/>
    <w:rsid w:val="00065CA5"/>
    <w:rsid w:val="000670FF"/>
    <w:rsid w:val="000735C3"/>
    <w:rsid w:val="00073E88"/>
    <w:rsid w:val="00080B6A"/>
    <w:rsid w:val="0008485D"/>
    <w:rsid w:val="00084FB5"/>
    <w:rsid w:val="00086BBB"/>
    <w:rsid w:val="00086D45"/>
    <w:rsid w:val="0008735F"/>
    <w:rsid w:val="0008736F"/>
    <w:rsid w:val="00087C16"/>
    <w:rsid w:val="00087D69"/>
    <w:rsid w:val="00091799"/>
    <w:rsid w:val="00091F6F"/>
    <w:rsid w:val="0009283B"/>
    <w:rsid w:val="00092F06"/>
    <w:rsid w:val="00093226"/>
    <w:rsid w:val="000932BE"/>
    <w:rsid w:val="00094F86"/>
    <w:rsid w:val="000A153C"/>
    <w:rsid w:val="000A160C"/>
    <w:rsid w:val="000A26E0"/>
    <w:rsid w:val="000A33BC"/>
    <w:rsid w:val="000A4529"/>
    <w:rsid w:val="000A5AB5"/>
    <w:rsid w:val="000B1272"/>
    <w:rsid w:val="000B1FF0"/>
    <w:rsid w:val="000B7232"/>
    <w:rsid w:val="000B7C85"/>
    <w:rsid w:val="000C1369"/>
    <w:rsid w:val="000C394B"/>
    <w:rsid w:val="000C3B4A"/>
    <w:rsid w:val="000C3F80"/>
    <w:rsid w:val="000C450A"/>
    <w:rsid w:val="000C54B2"/>
    <w:rsid w:val="000D1E1B"/>
    <w:rsid w:val="000D202B"/>
    <w:rsid w:val="000D20A5"/>
    <w:rsid w:val="000D22E5"/>
    <w:rsid w:val="000D31EE"/>
    <w:rsid w:val="000D3734"/>
    <w:rsid w:val="000D44CA"/>
    <w:rsid w:val="000D4976"/>
    <w:rsid w:val="000D6154"/>
    <w:rsid w:val="000D62B4"/>
    <w:rsid w:val="000D6CD3"/>
    <w:rsid w:val="000D725F"/>
    <w:rsid w:val="000D7A29"/>
    <w:rsid w:val="000E08F7"/>
    <w:rsid w:val="000E3391"/>
    <w:rsid w:val="000E341B"/>
    <w:rsid w:val="000E3673"/>
    <w:rsid w:val="000E3C69"/>
    <w:rsid w:val="000E412E"/>
    <w:rsid w:val="000E43F2"/>
    <w:rsid w:val="000E48B6"/>
    <w:rsid w:val="000E56E4"/>
    <w:rsid w:val="000E699A"/>
    <w:rsid w:val="000E752C"/>
    <w:rsid w:val="000F1B48"/>
    <w:rsid w:val="000F2EB0"/>
    <w:rsid w:val="000F5D6F"/>
    <w:rsid w:val="001007E6"/>
    <w:rsid w:val="0010126D"/>
    <w:rsid w:val="001037D9"/>
    <w:rsid w:val="0010404C"/>
    <w:rsid w:val="001043FF"/>
    <w:rsid w:val="00104E0A"/>
    <w:rsid w:val="0010546A"/>
    <w:rsid w:val="00110C51"/>
    <w:rsid w:val="00110CA4"/>
    <w:rsid w:val="001118AF"/>
    <w:rsid w:val="00112B49"/>
    <w:rsid w:val="0011653F"/>
    <w:rsid w:val="00116C95"/>
    <w:rsid w:val="00117C48"/>
    <w:rsid w:val="001206A2"/>
    <w:rsid w:val="00120E95"/>
    <w:rsid w:val="001229C2"/>
    <w:rsid w:val="001230CB"/>
    <w:rsid w:val="00124BF2"/>
    <w:rsid w:val="00124D2D"/>
    <w:rsid w:val="0012605A"/>
    <w:rsid w:val="00126A8B"/>
    <w:rsid w:val="00127C1C"/>
    <w:rsid w:val="001308D9"/>
    <w:rsid w:val="00131637"/>
    <w:rsid w:val="00132236"/>
    <w:rsid w:val="001328A2"/>
    <w:rsid w:val="00133013"/>
    <w:rsid w:val="001331AB"/>
    <w:rsid w:val="00133AEA"/>
    <w:rsid w:val="00133F3A"/>
    <w:rsid w:val="0013777B"/>
    <w:rsid w:val="001401C7"/>
    <w:rsid w:val="00141555"/>
    <w:rsid w:val="001419E5"/>
    <w:rsid w:val="001424A5"/>
    <w:rsid w:val="00143495"/>
    <w:rsid w:val="0014386B"/>
    <w:rsid w:val="00144A0F"/>
    <w:rsid w:val="00144C6C"/>
    <w:rsid w:val="00145012"/>
    <w:rsid w:val="00145FC0"/>
    <w:rsid w:val="0014640B"/>
    <w:rsid w:val="001471B6"/>
    <w:rsid w:val="00150DBA"/>
    <w:rsid w:val="0015125C"/>
    <w:rsid w:val="00151362"/>
    <w:rsid w:val="00151AD8"/>
    <w:rsid w:val="00151C46"/>
    <w:rsid w:val="00153958"/>
    <w:rsid w:val="001558B8"/>
    <w:rsid w:val="00155D44"/>
    <w:rsid w:val="00155D4D"/>
    <w:rsid w:val="0015600D"/>
    <w:rsid w:val="0016084C"/>
    <w:rsid w:val="00160C8D"/>
    <w:rsid w:val="001635CB"/>
    <w:rsid w:val="00166D97"/>
    <w:rsid w:val="00166E30"/>
    <w:rsid w:val="00166E5A"/>
    <w:rsid w:val="001703BE"/>
    <w:rsid w:val="00171ABD"/>
    <w:rsid w:val="0017248E"/>
    <w:rsid w:val="00172985"/>
    <w:rsid w:val="00173219"/>
    <w:rsid w:val="00174443"/>
    <w:rsid w:val="00174C1E"/>
    <w:rsid w:val="00175193"/>
    <w:rsid w:val="00182C6F"/>
    <w:rsid w:val="00183BF5"/>
    <w:rsid w:val="00184856"/>
    <w:rsid w:val="001858EC"/>
    <w:rsid w:val="00185A38"/>
    <w:rsid w:val="00186691"/>
    <w:rsid w:val="00186E35"/>
    <w:rsid w:val="00186F64"/>
    <w:rsid w:val="001877BA"/>
    <w:rsid w:val="001902B5"/>
    <w:rsid w:val="00190B1F"/>
    <w:rsid w:val="001922C8"/>
    <w:rsid w:val="00192585"/>
    <w:rsid w:val="0019261A"/>
    <w:rsid w:val="00197C93"/>
    <w:rsid w:val="001A1C14"/>
    <w:rsid w:val="001A2692"/>
    <w:rsid w:val="001A5D26"/>
    <w:rsid w:val="001B022D"/>
    <w:rsid w:val="001B063F"/>
    <w:rsid w:val="001B0FCE"/>
    <w:rsid w:val="001B19E1"/>
    <w:rsid w:val="001B1B34"/>
    <w:rsid w:val="001B280D"/>
    <w:rsid w:val="001B3947"/>
    <w:rsid w:val="001B3EF7"/>
    <w:rsid w:val="001B3F50"/>
    <w:rsid w:val="001B4207"/>
    <w:rsid w:val="001B576D"/>
    <w:rsid w:val="001B622B"/>
    <w:rsid w:val="001B6F4F"/>
    <w:rsid w:val="001B7429"/>
    <w:rsid w:val="001C0F4F"/>
    <w:rsid w:val="001C1130"/>
    <w:rsid w:val="001C1875"/>
    <w:rsid w:val="001C2FE1"/>
    <w:rsid w:val="001C3222"/>
    <w:rsid w:val="001C3E34"/>
    <w:rsid w:val="001C5C3A"/>
    <w:rsid w:val="001D13B6"/>
    <w:rsid w:val="001D1E77"/>
    <w:rsid w:val="001D37FC"/>
    <w:rsid w:val="001D434E"/>
    <w:rsid w:val="001D5470"/>
    <w:rsid w:val="001E0782"/>
    <w:rsid w:val="001E14D5"/>
    <w:rsid w:val="001E1967"/>
    <w:rsid w:val="001E2CEC"/>
    <w:rsid w:val="001E3951"/>
    <w:rsid w:val="001E3986"/>
    <w:rsid w:val="001E4625"/>
    <w:rsid w:val="001E5DBE"/>
    <w:rsid w:val="001E6B62"/>
    <w:rsid w:val="001E6E56"/>
    <w:rsid w:val="001F0303"/>
    <w:rsid w:val="001F0843"/>
    <w:rsid w:val="001F1C27"/>
    <w:rsid w:val="001F66AB"/>
    <w:rsid w:val="002006FE"/>
    <w:rsid w:val="0020083E"/>
    <w:rsid w:val="00202963"/>
    <w:rsid w:val="00202C94"/>
    <w:rsid w:val="002043E3"/>
    <w:rsid w:val="00204834"/>
    <w:rsid w:val="00207DA1"/>
    <w:rsid w:val="00207EC6"/>
    <w:rsid w:val="00210A68"/>
    <w:rsid w:val="0021287B"/>
    <w:rsid w:val="00213F11"/>
    <w:rsid w:val="002146F5"/>
    <w:rsid w:val="00215B52"/>
    <w:rsid w:val="00217323"/>
    <w:rsid w:val="00220BAA"/>
    <w:rsid w:val="00220E9F"/>
    <w:rsid w:val="0022111A"/>
    <w:rsid w:val="002218EB"/>
    <w:rsid w:val="002219B7"/>
    <w:rsid w:val="0022291F"/>
    <w:rsid w:val="002231C8"/>
    <w:rsid w:val="00223A6F"/>
    <w:rsid w:val="00224EF2"/>
    <w:rsid w:val="00225A16"/>
    <w:rsid w:val="00226B8F"/>
    <w:rsid w:val="0022739F"/>
    <w:rsid w:val="00227775"/>
    <w:rsid w:val="002303FD"/>
    <w:rsid w:val="00230CF0"/>
    <w:rsid w:val="00230E91"/>
    <w:rsid w:val="00231D80"/>
    <w:rsid w:val="00232986"/>
    <w:rsid w:val="00233C41"/>
    <w:rsid w:val="002366A1"/>
    <w:rsid w:val="002369BE"/>
    <w:rsid w:val="00236D2C"/>
    <w:rsid w:val="002371A1"/>
    <w:rsid w:val="00242DF0"/>
    <w:rsid w:val="00244879"/>
    <w:rsid w:val="002449B4"/>
    <w:rsid w:val="00250907"/>
    <w:rsid w:val="00250FC2"/>
    <w:rsid w:val="0025108C"/>
    <w:rsid w:val="00251A1A"/>
    <w:rsid w:val="00253B80"/>
    <w:rsid w:val="00253BBE"/>
    <w:rsid w:val="00253BD9"/>
    <w:rsid w:val="0025432B"/>
    <w:rsid w:val="00254374"/>
    <w:rsid w:val="00254AFE"/>
    <w:rsid w:val="00255D41"/>
    <w:rsid w:val="002572A7"/>
    <w:rsid w:val="00257B8E"/>
    <w:rsid w:val="00257F6F"/>
    <w:rsid w:val="002615AE"/>
    <w:rsid w:val="0026311B"/>
    <w:rsid w:val="00263FD8"/>
    <w:rsid w:val="00264912"/>
    <w:rsid w:val="00264C62"/>
    <w:rsid w:val="00265345"/>
    <w:rsid w:val="002656E2"/>
    <w:rsid w:val="00265A4B"/>
    <w:rsid w:val="002662E6"/>
    <w:rsid w:val="0026657C"/>
    <w:rsid w:val="002679B5"/>
    <w:rsid w:val="00270A0D"/>
    <w:rsid w:val="00272F9B"/>
    <w:rsid w:val="00274864"/>
    <w:rsid w:val="00276781"/>
    <w:rsid w:val="00277E5F"/>
    <w:rsid w:val="002805A9"/>
    <w:rsid w:val="0028118C"/>
    <w:rsid w:val="00282DE2"/>
    <w:rsid w:val="00284877"/>
    <w:rsid w:val="002852D3"/>
    <w:rsid w:val="002874AC"/>
    <w:rsid w:val="00287714"/>
    <w:rsid w:val="0029095E"/>
    <w:rsid w:val="00290F42"/>
    <w:rsid w:val="00292228"/>
    <w:rsid w:val="0029507C"/>
    <w:rsid w:val="00295206"/>
    <w:rsid w:val="002977FB"/>
    <w:rsid w:val="002A0809"/>
    <w:rsid w:val="002A2508"/>
    <w:rsid w:val="002A2ABF"/>
    <w:rsid w:val="002A35FA"/>
    <w:rsid w:val="002A458E"/>
    <w:rsid w:val="002B01B8"/>
    <w:rsid w:val="002B0A0D"/>
    <w:rsid w:val="002B1765"/>
    <w:rsid w:val="002B2181"/>
    <w:rsid w:val="002B22F3"/>
    <w:rsid w:val="002C0D5D"/>
    <w:rsid w:val="002C28E6"/>
    <w:rsid w:val="002C371B"/>
    <w:rsid w:val="002C3C7A"/>
    <w:rsid w:val="002C442C"/>
    <w:rsid w:val="002C514A"/>
    <w:rsid w:val="002C6BF4"/>
    <w:rsid w:val="002C6DC4"/>
    <w:rsid w:val="002C7066"/>
    <w:rsid w:val="002D00DE"/>
    <w:rsid w:val="002D06BE"/>
    <w:rsid w:val="002D08B1"/>
    <w:rsid w:val="002D0D17"/>
    <w:rsid w:val="002D13F8"/>
    <w:rsid w:val="002D4842"/>
    <w:rsid w:val="002D4C34"/>
    <w:rsid w:val="002D5FA1"/>
    <w:rsid w:val="002D7C6A"/>
    <w:rsid w:val="002E174A"/>
    <w:rsid w:val="002E3290"/>
    <w:rsid w:val="002E32B6"/>
    <w:rsid w:val="002E349B"/>
    <w:rsid w:val="002E34D7"/>
    <w:rsid w:val="002E40AC"/>
    <w:rsid w:val="002E5882"/>
    <w:rsid w:val="002E7261"/>
    <w:rsid w:val="002E77ED"/>
    <w:rsid w:val="002F0A29"/>
    <w:rsid w:val="002F31AB"/>
    <w:rsid w:val="002F402B"/>
    <w:rsid w:val="002F42FF"/>
    <w:rsid w:val="002F5FB4"/>
    <w:rsid w:val="002F6AD7"/>
    <w:rsid w:val="002F6F48"/>
    <w:rsid w:val="002F71A5"/>
    <w:rsid w:val="00300851"/>
    <w:rsid w:val="0030089E"/>
    <w:rsid w:val="003009E7"/>
    <w:rsid w:val="00301E3F"/>
    <w:rsid w:val="003050AC"/>
    <w:rsid w:val="0031018B"/>
    <w:rsid w:val="00310578"/>
    <w:rsid w:val="0031070E"/>
    <w:rsid w:val="00311426"/>
    <w:rsid w:val="0031179F"/>
    <w:rsid w:val="003117CD"/>
    <w:rsid w:val="003129C8"/>
    <w:rsid w:val="00312F2A"/>
    <w:rsid w:val="00314186"/>
    <w:rsid w:val="003142D4"/>
    <w:rsid w:val="0031509C"/>
    <w:rsid w:val="00322863"/>
    <w:rsid w:val="00322A41"/>
    <w:rsid w:val="00322C7C"/>
    <w:rsid w:val="00323CAF"/>
    <w:rsid w:val="00323FAA"/>
    <w:rsid w:val="003241E4"/>
    <w:rsid w:val="00325040"/>
    <w:rsid w:val="00327534"/>
    <w:rsid w:val="00327607"/>
    <w:rsid w:val="00327B31"/>
    <w:rsid w:val="00327CA8"/>
    <w:rsid w:val="00330152"/>
    <w:rsid w:val="003308DC"/>
    <w:rsid w:val="00331600"/>
    <w:rsid w:val="00334215"/>
    <w:rsid w:val="00336A54"/>
    <w:rsid w:val="00337EE0"/>
    <w:rsid w:val="0034074A"/>
    <w:rsid w:val="0034156E"/>
    <w:rsid w:val="0034247F"/>
    <w:rsid w:val="003437E8"/>
    <w:rsid w:val="0034408D"/>
    <w:rsid w:val="003440EF"/>
    <w:rsid w:val="00344E7A"/>
    <w:rsid w:val="00345B0B"/>
    <w:rsid w:val="00346329"/>
    <w:rsid w:val="00346F6C"/>
    <w:rsid w:val="00347194"/>
    <w:rsid w:val="0034783D"/>
    <w:rsid w:val="00347DC8"/>
    <w:rsid w:val="00350A70"/>
    <w:rsid w:val="00353B81"/>
    <w:rsid w:val="00355117"/>
    <w:rsid w:val="003557A9"/>
    <w:rsid w:val="00356099"/>
    <w:rsid w:val="003577EB"/>
    <w:rsid w:val="00360144"/>
    <w:rsid w:val="003603D6"/>
    <w:rsid w:val="00360E7C"/>
    <w:rsid w:val="00361051"/>
    <w:rsid w:val="00363374"/>
    <w:rsid w:val="00365AC1"/>
    <w:rsid w:val="00365DB1"/>
    <w:rsid w:val="00365FD5"/>
    <w:rsid w:val="003663C2"/>
    <w:rsid w:val="003670EC"/>
    <w:rsid w:val="003672CE"/>
    <w:rsid w:val="0037003C"/>
    <w:rsid w:val="00370A78"/>
    <w:rsid w:val="00371BAE"/>
    <w:rsid w:val="003724A3"/>
    <w:rsid w:val="00373A73"/>
    <w:rsid w:val="00373C58"/>
    <w:rsid w:val="00375382"/>
    <w:rsid w:val="00376D29"/>
    <w:rsid w:val="00376F5C"/>
    <w:rsid w:val="00377717"/>
    <w:rsid w:val="00380743"/>
    <w:rsid w:val="00381F0C"/>
    <w:rsid w:val="003854B1"/>
    <w:rsid w:val="0038565D"/>
    <w:rsid w:val="00385E30"/>
    <w:rsid w:val="00390ADA"/>
    <w:rsid w:val="00393022"/>
    <w:rsid w:val="00393E7C"/>
    <w:rsid w:val="003949BA"/>
    <w:rsid w:val="00394EC1"/>
    <w:rsid w:val="00394F48"/>
    <w:rsid w:val="00395178"/>
    <w:rsid w:val="00395B3C"/>
    <w:rsid w:val="00396339"/>
    <w:rsid w:val="003A0636"/>
    <w:rsid w:val="003A0767"/>
    <w:rsid w:val="003A12F2"/>
    <w:rsid w:val="003A313F"/>
    <w:rsid w:val="003A3290"/>
    <w:rsid w:val="003A4708"/>
    <w:rsid w:val="003A5CAC"/>
    <w:rsid w:val="003A6EB0"/>
    <w:rsid w:val="003A7521"/>
    <w:rsid w:val="003B0A55"/>
    <w:rsid w:val="003B193B"/>
    <w:rsid w:val="003B22D6"/>
    <w:rsid w:val="003B2301"/>
    <w:rsid w:val="003C13A1"/>
    <w:rsid w:val="003C1440"/>
    <w:rsid w:val="003C1A62"/>
    <w:rsid w:val="003C206E"/>
    <w:rsid w:val="003C20F0"/>
    <w:rsid w:val="003C2640"/>
    <w:rsid w:val="003C34DA"/>
    <w:rsid w:val="003C38C6"/>
    <w:rsid w:val="003C4958"/>
    <w:rsid w:val="003C692B"/>
    <w:rsid w:val="003C7368"/>
    <w:rsid w:val="003D21D1"/>
    <w:rsid w:val="003D3146"/>
    <w:rsid w:val="003D368B"/>
    <w:rsid w:val="003D6644"/>
    <w:rsid w:val="003D7160"/>
    <w:rsid w:val="003E0F5A"/>
    <w:rsid w:val="003E2104"/>
    <w:rsid w:val="003E2ED3"/>
    <w:rsid w:val="003E380C"/>
    <w:rsid w:val="003E449D"/>
    <w:rsid w:val="003E6294"/>
    <w:rsid w:val="003E66F5"/>
    <w:rsid w:val="003E68EA"/>
    <w:rsid w:val="003E6A9D"/>
    <w:rsid w:val="003E78A0"/>
    <w:rsid w:val="003E7A7E"/>
    <w:rsid w:val="003F0CC9"/>
    <w:rsid w:val="003F0EB7"/>
    <w:rsid w:val="003F159C"/>
    <w:rsid w:val="003F23A7"/>
    <w:rsid w:val="003F283C"/>
    <w:rsid w:val="003F4B13"/>
    <w:rsid w:val="003F4B72"/>
    <w:rsid w:val="003F510E"/>
    <w:rsid w:val="003F63DE"/>
    <w:rsid w:val="003F6A49"/>
    <w:rsid w:val="00400C02"/>
    <w:rsid w:val="004032DB"/>
    <w:rsid w:val="00403D4F"/>
    <w:rsid w:val="004055AA"/>
    <w:rsid w:val="00405C45"/>
    <w:rsid w:val="004111A2"/>
    <w:rsid w:val="00411948"/>
    <w:rsid w:val="00412A18"/>
    <w:rsid w:val="004152FE"/>
    <w:rsid w:val="00415480"/>
    <w:rsid w:val="00416422"/>
    <w:rsid w:val="0041686C"/>
    <w:rsid w:val="004213B3"/>
    <w:rsid w:val="004256A6"/>
    <w:rsid w:val="00425B16"/>
    <w:rsid w:val="0043160E"/>
    <w:rsid w:val="00432334"/>
    <w:rsid w:val="00433302"/>
    <w:rsid w:val="004334F1"/>
    <w:rsid w:val="00433B9D"/>
    <w:rsid w:val="00436237"/>
    <w:rsid w:val="00437CCF"/>
    <w:rsid w:val="0044108A"/>
    <w:rsid w:val="00441251"/>
    <w:rsid w:val="004419C1"/>
    <w:rsid w:val="00441CBD"/>
    <w:rsid w:val="004421B7"/>
    <w:rsid w:val="00442F18"/>
    <w:rsid w:val="00443CCA"/>
    <w:rsid w:val="004452C7"/>
    <w:rsid w:val="0044692D"/>
    <w:rsid w:val="00446E25"/>
    <w:rsid w:val="00446F8B"/>
    <w:rsid w:val="00450987"/>
    <w:rsid w:val="00450F6D"/>
    <w:rsid w:val="00453276"/>
    <w:rsid w:val="0045640B"/>
    <w:rsid w:val="0046081A"/>
    <w:rsid w:val="00460EF1"/>
    <w:rsid w:val="00461241"/>
    <w:rsid w:val="004618F3"/>
    <w:rsid w:val="00463C7D"/>
    <w:rsid w:val="0046470E"/>
    <w:rsid w:val="00465284"/>
    <w:rsid w:val="0046658E"/>
    <w:rsid w:val="00467AF1"/>
    <w:rsid w:val="00467BFA"/>
    <w:rsid w:val="00471358"/>
    <w:rsid w:val="004740B1"/>
    <w:rsid w:val="004744B5"/>
    <w:rsid w:val="004754FB"/>
    <w:rsid w:val="004779B6"/>
    <w:rsid w:val="00480306"/>
    <w:rsid w:val="0048200D"/>
    <w:rsid w:val="004832F5"/>
    <w:rsid w:val="00484B9D"/>
    <w:rsid w:val="00485503"/>
    <w:rsid w:val="004859B3"/>
    <w:rsid w:val="00487D2F"/>
    <w:rsid w:val="00487E4B"/>
    <w:rsid w:val="00490035"/>
    <w:rsid w:val="00491661"/>
    <w:rsid w:val="004923E4"/>
    <w:rsid w:val="00492C21"/>
    <w:rsid w:val="00494144"/>
    <w:rsid w:val="00494A84"/>
    <w:rsid w:val="00494E74"/>
    <w:rsid w:val="00495DE0"/>
    <w:rsid w:val="00496FF5"/>
    <w:rsid w:val="004A0CA2"/>
    <w:rsid w:val="004A4226"/>
    <w:rsid w:val="004A6C8F"/>
    <w:rsid w:val="004B01C7"/>
    <w:rsid w:val="004B03EC"/>
    <w:rsid w:val="004B06CD"/>
    <w:rsid w:val="004B0A3B"/>
    <w:rsid w:val="004B11F2"/>
    <w:rsid w:val="004B17C7"/>
    <w:rsid w:val="004B24FD"/>
    <w:rsid w:val="004B2DA0"/>
    <w:rsid w:val="004B44DC"/>
    <w:rsid w:val="004B743F"/>
    <w:rsid w:val="004B7830"/>
    <w:rsid w:val="004B7E66"/>
    <w:rsid w:val="004C3CDF"/>
    <w:rsid w:val="004C4703"/>
    <w:rsid w:val="004C5299"/>
    <w:rsid w:val="004C7C68"/>
    <w:rsid w:val="004C7D5A"/>
    <w:rsid w:val="004D2EC3"/>
    <w:rsid w:val="004D3FB8"/>
    <w:rsid w:val="004D4320"/>
    <w:rsid w:val="004D5755"/>
    <w:rsid w:val="004E0B8C"/>
    <w:rsid w:val="004E135E"/>
    <w:rsid w:val="004E1638"/>
    <w:rsid w:val="004E1EF2"/>
    <w:rsid w:val="004E2547"/>
    <w:rsid w:val="004E2F3A"/>
    <w:rsid w:val="004E3B78"/>
    <w:rsid w:val="004E5469"/>
    <w:rsid w:val="004E567C"/>
    <w:rsid w:val="004E5877"/>
    <w:rsid w:val="004E6566"/>
    <w:rsid w:val="004E7910"/>
    <w:rsid w:val="004E7C41"/>
    <w:rsid w:val="004F0539"/>
    <w:rsid w:val="004F1009"/>
    <w:rsid w:val="004F146F"/>
    <w:rsid w:val="004F277C"/>
    <w:rsid w:val="004F460B"/>
    <w:rsid w:val="004F5990"/>
    <w:rsid w:val="004F68BE"/>
    <w:rsid w:val="004F6AE9"/>
    <w:rsid w:val="00500463"/>
    <w:rsid w:val="0050076E"/>
    <w:rsid w:val="005010B2"/>
    <w:rsid w:val="005023DD"/>
    <w:rsid w:val="00503D4B"/>
    <w:rsid w:val="0050603E"/>
    <w:rsid w:val="00506760"/>
    <w:rsid w:val="00507E09"/>
    <w:rsid w:val="005105C6"/>
    <w:rsid w:val="00510B65"/>
    <w:rsid w:val="005127AE"/>
    <w:rsid w:val="00513635"/>
    <w:rsid w:val="0051447C"/>
    <w:rsid w:val="005148B2"/>
    <w:rsid w:val="005151E5"/>
    <w:rsid w:val="00523D0B"/>
    <w:rsid w:val="0052466E"/>
    <w:rsid w:val="005246D7"/>
    <w:rsid w:val="00524ABF"/>
    <w:rsid w:val="00525C13"/>
    <w:rsid w:val="00530AD1"/>
    <w:rsid w:val="0053170E"/>
    <w:rsid w:val="0053779A"/>
    <w:rsid w:val="00537C49"/>
    <w:rsid w:val="00537E0B"/>
    <w:rsid w:val="0054305B"/>
    <w:rsid w:val="00543BF5"/>
    <w:rsid w:val="00550194"/>
    <w:rsid w:val="005506A3"/>
    <w:rsid w:val="00550966"/>
    <w:rsid w:val="005536EC"/>
    <w:rsid w:val="00553E5A"/>
    <w:rsid w:val="005562E7"/>
    <w:rsid w:val="00556404"/>
    <w:rsid w:val="00556B52"/>
    <w:rsid w:val="00557454"/>
    <w:rsid w:val="00560FA0"/>
    <w:rsid w:val="00561719"/>
    <w:rsid w:val="0056248A"/>
    <w:rsid w:val="00562AC0"/>
    <w:rsid w:val="0056361B"/>
    <w:rsid w:val="0056443D"/>
    <w:rsid w:val="00564667"/>
    <w:rsid w:val="005649FF"/>
    <w:rsid w:val="00565B0B"/>
    <w:rsid w:val="0056683C"/>
    <w:rsid w:val="00566C56"/>
    <w:rsid w:val="00572BEB"/>
    <w:rsid w:val="0057333E"/>
    <w:rsid w:val="005747D2"/>
    <w:rsid w:val="00574FF9"/>
    <w:rsid w:val="00575161"/>
    <w:rsid w:val="0057540A"/>
    <w:rsid w:val="00575469"/>
    <w:rsid w:val="00577CBF"/>
    <w:rsid w:val="00583FA9"/>
    <w:rsid w:val="00586975"/>
    <w:rsid w:val="00587EA3"/>
    <w:rsid w:val="00590771"/>
    <w:rsid w:val="0059331C"/>
    <w:rsid w:val="0059433A"/>
    <w:rsid w:val="0059693A"/>
    <w:rsid w:val="005A1948"/>
    <w:rsid w:val="005A202A"/>
    <w:rsid w:val="005A3772"/>
    <w:rsid w:val="005A62E2"/>
    <w:rsid w:val="005B2429"/>
    <w:rsid w:val="005B24E9"/>
    <w:rsid w:val="005B2D34"/>
    <w:rsid w:val="005B3FC9"/>
    <w:rsid w:val="005B4707"/>
    <w:rsid w:val="005B5A15"/>
    <w:rsid w:val="005B5E42"/>
    <w:rsid w:val="005C041A"/>
    <w:rsid w:val="005C0FE2"/>
    <w:rsid w:val="005C21CD"/>
    <w:rsid w:val="005C3C84"/>
    <w:rsid w:val="005C589E"/>
    <w:rsid w:val="005C5CA0"/>
    <w:rsid w:val="005C65DE"/>
    <w:rsid w:val="005C73D4"/>
    <w:rsid w:val="005D0377"/>
    <w:rsid w:val="005D125F"/>
    <w:rsid w:val="005D17F2"/>
    <w:rsid w:val="005D1B3F"/>
    <w:rsid w:val="005D3AD8"/>
    <w:rsid w:val="005E18F5"/>
    <w:rsid w:val="005E4422"/>
    <w:rsid w:val="005E473D"/>
    <w:rsid w:val="005E51E9"/>
    <w:rsid w:val="005E555C"/>
    <w:rsid w:val="005E6A06"/>
    <w:rsid w:val="005E73CA"/>
    <w:rsid w:val="005F2A1F"/>
    <w:rsid w:val="005F39DD"/>
    <w:rsid w:val="005F40EF"/>
    <w:rsid w:val="005F48BA"/>
    <w:rsid w:val="005F53E8"/>
    <w:rsid w:val="005F7386"/>
    <w:rsid w:val="005F7C31"/>
    <w:rsid w:val="0060130C"/>
    <w:rsid w:val="00602B9E"/>
    <w:rsid w:val="006032DD"/>
    <w:rsid w:val="00605B24"/>
    <w:rsid w:val="006103EC"/>
    <w:rsid w:val="00610B55"/>
    <w:rsid w:val="00610D95"/>
    <w:rsid w:val="006113B8"/>
    <w:rsid w:val="0061245E"/>
    <w:rsid w:val="0061278E"/>
    <w:rsid w:val="00616F48"/>
    <w:rsid w:val="00622785"/>
    <w:rsid w:val="006242AC"/>
    <w:rsid w:val="00627668"/>
    <w:rsid w:val="00630483"/>
    <w:rsid w:val="0063071B"/>
    <w:rsid w:val="00630A02"/>
    <w:rsid w:val="0063107D"/>
    <w:rsid w:val="0063217A"/>
    <w:rsid w:val="0063378D"/>
    <w:rsid w:val="00635CE7"/>
    <w:rsid w:val="00637059"/>
    <w:rsid w:val="006371D0"/>
    <w:rsid w:val="006404EA"/>
    <w:rsid w:val="00641AF8"/>
    <w:rsid w:val="00642E6C"/>
    <w:rsid w:val="006432B4"/>
    <w:rsid w:val="00644BA5"/>
    <w:rsid w:val="00644C12"/>
    <w:rsid w:val="006462B6"/>
    <w:rsid w:val="006462FB"/>
    <w:rsid w:val="00651C0C"/>
    <w:rsid w:val="00654245"/>
    <w:rsid w:val="0065534E"/>
    <w:rsid w:val="00655A61"/>
    <w:rsid w:val="00655C0E"/>
    <w:rsid w:val="00656760"/>
    <w:rsid w:val="0066126C"/>
    <w:rsid w:val="00661322"/>
    <w:rsid w:val="006622AF"/>
    <w:rsid w:val="0066374C"/>
    <w:rsid w:val="006637D2"/>
    <w:rsid w:val="00665542"/>
    <w:rsid w:val="00665544"/>
    <w:rsid w:val="00665C26"/>
    <w:rsid w:val="00666350"/>
    <w:rsid w:val="00666CA4"/>
    <w:rsid w:val="0066755D"/>
    <w:rsid w:val="00670ED1"/>
    <w:rsid w:val="00672F9E"/>
    <w:rsid w:val="00673E8E"/>
    <w:rsid w:val="00674AB6"/>
    <w:rsid w:val="00675C67"/>
    <w:rsid w:val="00676518"/>
    <w:rsid w:val="006765D3"/>
    <w:rsid w:val="00676854"/>
    <w:rsid w:val="0067712A"/>
    <w:rsid w:val="00677356"/>
    <w:rsid w:val="0068084B"/>
    <w:rsid w:val="006814D7"/>
    <w:rsid w:val="00682000"/>
    <w:rsid w:val="006820CA"/>
    <w:rsid w:val="0068252F"/>
    <w:rsid w:val="006826B2"/>
    <w:rsid w:val="006829BE"/>
    <w:rsid w:val="006849A2"/>
    <w:rsid w:val="006857FA"/>
    <w:rsid w:val="006873F0"/>
    <w:rsid w:val="00690C71"/>
    <w:rsid w:val="0069118D"/>
    <w:rsid w:val="00692519"/>
    <w:rsid w:val="006938DF"/>
    <w:rsid w:val="00694F7B"/>
    <w:rsid w:val="0069644B"/>
    <w:rsid w:val="00697D76"/>
    <w:rsid w:val="006A1608"/>
    <w:rsid w:val="006A20E7"/>
    <w:rsid w:val="006A3937"/>
    <w:rsid w:val="006A45C5"/>
    <w:rsid w:val="006A53B8"/>
    <w:rsid w:val="006A6BF2"/>
    <w:rsid w:val="006A7709"/>
    <w:rsid w:val="006A7B42"/>
    <w:rsid w:val="006B0E1F"/>
    <w:rsid w:val="006B2074"/>
    <w:rsid w:val="006B2AD6"/>
    <w:rsid w:val="006B33E7"/>
    <w:rsid w:val="006B4250"/>
    <w:rsid w:val="006B4CF8"/>
    <w:rsid w:val="006B51D0"/>
    <w:rsid w:val="006B685F"/>
    <w:rsid w:val="006C0530"/>
    <w:rsid w:val="006C06CB"/>
    <w:rsid w:val="006C0921"/>
    <w:rsid w:val="006C0ECA"/>
    <w:rsid w:val="006C46BE"/>
    <w:rsid w:val="006C78CA"/>
    <w:rsid w:val="006D3B23"/>
    <w:rsid w:val="006D3DBB"/>
    <w:rsid w:val="006D3E6F"/>
    <w:rsid w:val="006D5D1B"/>
    <w:rsid w:val="006D68E0"/>
    <w:rsid w:val="006D69E4"/>
    <w:rsid w:val="006D743F"/>
    <w:rsid w:val="006E03FB"/>
    <w:rsid w:val="006E0889"/>
    <w:rsid w:val="006E25E6"/>
    <w:rsid w:val="006E2E99"/>
    <w:rsid w:val="006E4023"/>
    <w:rsid w:val="006E5861"/>
    <w:rsid w:val="006E598B"/>
    <w:rsid w:val="006E6285"/>
    <w:rsid w:val="006E67DC"/>
    <w:rsid w:val="006E6B4B"/>
    <w:rsid w:val="006E6FBE"/>
    <w:rsid w:val="006E7789"/>
    <w:rsid w:val="006E7D00"/>
    <w:rsid w:val="006F20B3"/>
    <w:rsid w:val="006F3499"/>
    <w:rsid w:val="006F3AAC"/>
    <w:rsid w:val="006F642B"/>
    <w:rsid w:val="006F7517"/>
    <w:rsid w:val="0070001B"/>
    <w:rsid w:val="00702241"/>
    <w:rsid w:val="007038A0"/>
    <w:rsid w:val="00704689"/>
    <w:rsid w:val="00705B7E"/>
    <w:rsid w:val="007060CE"/>
    <w:rsid w:val="00706869"/>
    <w:rsid w:val="00707350"/>
    <w:rsid w:val="00707916"/>
    <w:rsid w:val="00710E7A"/>
    <w:rsid w:val="00711D43"/>
    <w:rsid w:val="0071481C"/>
    <w:rsid w:val="00714853"/>
    <w:rsid w:val="00715971"/>
    <w:rsid w:val="007167D4"/>
    <w:rsid w:val="00716CCD"/>
    <w:rsid w:val="007201F5"/>
    <w:rsid w:val="007209C9"/>
    <w:rsid w:val="00721D3C"/>
    <w:rsid w:val="007240F0"/>
    <w:rsid w:val="00725B45"/>
    <w:rsid w:val="00730ECF"/>
    <w:rsid w:val="00732221"/>
    <w:rsid w:val="007327C9"/>
    <w:rsid w:val="00734DB5"/>
    <w:rsid w:val="007366E1"/>
    <w:rsid w:val="007370BB"/>
    <w:rsid w:val="00737E2E"/>
    <w:rsid w:val="00740CD4"/>
    <w:rsid w:val="00741008"/>
    <w:rsid w:val="00741DB8"/>
    <w:rsid w:val="0074337B"/>
    <w:rsid w:val="007447EB"/>
    <w:rsid w:val="00746D33"/>
    <w:rsid w:val="00747266"/>
    <w:rsid w:val="0074751C"/>
    <w:rsid w:val="00750C2B"/>
    <w:rsid w:val="00752B6A"/>
    <w:rsid w:val="00753158"/>
    <w:rsid w:val="0075581C"/>
    <w:rsid w:val="0075658A"/>
    <w:rsid w:val="00756A8D"/>
    <w:rsid w:val="00756D0A"/>
    <w:rsid w:val="007616D0"/>
    <w:rsid w:val="00761A6A"/>
    <w:rsid w:val="0076216B"/>
    <w:rsid w:val="00762FAD"/>
    <w:rsid w:val="00764BED"/>
    <w:rsid w:val="00765801"/>
    <w:rsid w:val="00767415"/>
    <w:rsid w:val="007704E5"/>
    <w:rsid w:val="00770FC7"/>
    <w:rsid w:val="007711B1"/>
    <w:rsid w:val="00773292"/>
    <w:rsid w:val="00773B18"/>
    <w:rsid w:val="00774514"/>
    <w:rsid w:val="00774C8F"/>
    <w:rsid w:val="00776CE4"/>
    <w:rsid w:val="00776E3E"/>
    <w:rsid w:val="00777264"/>
    <w:rsid w:val="00777555"/>
    <w:rsid w:val="00777A9B"/>
    <w:rsid w:val="007816AE"/>
    <w:rsid w:val="007828BA"/>
    <w:rsid w:val="00784189"/>
    <w:rsid w:val="0078456E"/>
    <w:rsid w:val="007857F8"/>
    <w:rsid w:val="007858BA"/>
    <w:rsid w:val="0078670C"/>
    <w:rsid w:val="007875BA"/>
    <w:rsid w:val="00790269"/>
    <w:rsid w:val="00790346"/>
    <w:rsid w:val="00790A6C"/>
    <w:rsid w:val="0079140A"/>
    <w:rsid w:val="00791BE5"/>
    <w:rsid w:val="0079404B"/>
    <w:rsid w:val="00794C6A"/>
    <w:rsid w:val="00796AD1"/>
    <w:rsid w:val="007A2040"/>
    <w:rsid w:val="007A35F3"/>
    <w:rsid w:val="007A3B6E"/>
    <w:rsid w:val="007A4352"/>
    <w:rsid w:val="007A62B9"/>
    <w:rsid w:val="007A7B6A"/>
    <w:rsid w:val="007A7E03"/>
    <w:rsid w:val="007B1264"/>
    <w:rsid w:val="007B263B"/>
    <w:rsid w:val="007B2925"/>
    <w:rsid w:val="007B3DE4"/>
    <w:rsid w:val="007B479A"/>
    <w:rsid w:val="007B532A"/>
    <w:rsid w:val="007B535A"/>
    <w:rsid w:val="007B53DD"/>
    <w:rsid w:val="007B7338"/>
    <w:rsid w:val="007C0D09"/>
    <w:rsid w:val="007C1793"/>
    <w:rsid w:val="007C197E"/>
    <w:rsid w:val="007C22D0"/>
    <w:rsid w:val="007C30E2"/>
    <w:rsid w:val="007C3CA8"/>
    <w:rsid w:val="007C3E3F"/>
    <w:rsid w:val="007C3E52"/>
    <w:rsid w:val="007C6138"/>
    <w:rsid w:val="007C65B9"/>
    <w:rsid w:val="007C65DE"/>
    <w:rsid w:val="007D2080"/>
    <w:rsid w:val="007D24E8"/>
    <w:rsid w:val="007D4964"/>
    <w:rsid w:val="007D642C"/>
    <w:rsid w:val="007E046B"/>
    <w:rsid w:val="007E0920"/>
    <w:rsid w:val="007E0ACD"/>
    <w:rsid w:val="007E1CE4"/>
    <w:rsid w:val="007E27CD"/>
    <w:rsid w:val="007E7326"/>
    <w:rsid w:val="007F0806"/>
    <w:rsid w:val="007F1C16"/>
    <w:rsid w:val="007F48F8"/>
    <w:rsid w:val="007F5DA5"/>
    <w:rsid w:val="007F6434"/>
    <w:rsid w:val="007F7182"/>
    <w:rsid w:val="007F770C"/>
    <w:rsid w:val="00800E9F"/>
    <w:rsid w:val="00801F62"/>
    <w:rsid w:val="008022CD"/>
    <w:rsid w:val="00802629"/>
    <w:rsid w:val="008037E4"/>
    <w:rsid w:val="00803C48"/>
    <w:rsid w:val="00804F8F"/>
    <w:rsid w:val="0080538D"/>
    <w:rsid w:val="0080591C"/>
    <w:rsid w:val="00805989"/>
    <w:rsid w:val="008063FF"/>
    <w:rsid w:val="008074C2"/>
    <w:rsid w:val="008079D7"/>
    <w:rsid w:val="00807D77"/>
    <w:rsid w:val="008107E7"/>
    <w:rsid w:val="008115BA"/>
    <w:rsid w:val="00811CB3"/>
    <w:rsid w:val="00813CED"/>
    <w:rsid w:val="0081608A"/>
    <w:rsid w:val="00817BCA"/>
    <w:rsid w:val="00820750"/>
    <w:rsid w:val="00820BE4"/>
    <w:rsid w:val="008211AF"/>
    <w:rsid w:val="00821D4D"/>
    <w:rsid w:val="00822E4C"/>
    <w:rsid w:val="008269FC"/>
    <w:rsid w:val="00827300"/>
    <w:rsid w:val="008345CE"/>
    <w:rsid w:val="00836804"/>
    <w:rsid w:val="00843FD3"/>
    <w:rsid w:val="00844B67"/>
    <w:rsid w:val="0084521B"/>
    <w:rsid w:val="00846A97"/>
    <w:rsid w:val="00847CA7"/>
    <w:rsid w:val="00847E35"/>
    <w:rsid w:val="0085085B"/>
    <w:rsid w:val="00851699"/>
    <w:rsid w:val="0085328F"/>
    <w:rsid w:val="008549AB"/>
    <w:rsid w:val="0085697F"/>
    <w:rsid w:val="00856F1F"/>
    <w:rsid w:val="00860FFD"/>
    <w:rsid w:val="00863537"/>
    <w:rsid w:val="00863E51"/>
    <w:rsid w:val="008653A4"/>
    <w:rsid w:val="00865428"/>
    <w:rsid w:val="008656B6"/>
    <w:rsid w:val="00865BBD"/>
    <w:rsid w:val="00866D25"/>
    <w:rsid w:val="00866EDF"/>
    <w:rsid w:val="00870269"/>
    <w:rsid w:val="00871246"/>
    <w:rsid w:val="00872222"/>
    <w:rsid w:val="00872B37"/>
    <w:rsid w:val="008733AA"/>
    <w:rsid w:val="00873518"/>
    <w:rsid w:val="00873F7C"/>
    <w:rsid w:val="0087422E"/>
    <w:rsid w:val="0087519A"/>
    <w:rsid w:val="00875D8D"/>
    <w:rsid w:val="00876086"/>
    <w:rsid w:val="00876AE5"/>
    <w:rsid w:val="008776D9"/>
    <w:rsid w:val="00877848"/>
    <w:rsid w:val="00881BF6"/>
    <w:rsid w:val="00881EB7"/>
    <w:rsid w:val="0088294E"/>
    <w:rsid w:val="00882ACE"/>
    <w:rsid w:val="00883D5D"/>
    <w:rsid w:val="00884B49"/>
    <w:rsid w:val="0088504D"/>
    <w:rsid w:val="00885052"/>
    <w:rsid w:val="00885A32"/>
    <w:rsid w:val="00886C1C"/>
    <w:rsid w:val="00886DE6"/>
    <w:rsid w:val="008873A6"/>
    <w:rsid w:val="0088793C"/>
    <w:rsid w:val="00887AF0"/>
    <w:rsid w:val="00890C3F"/>
    <w:rsid w:val="008935A9"/>
    <w:rsid w:val="00893FF8"/>
    <w:rsid w:val="00894FE7"/>
    <w:rsid w:val="00895CB4"/>
    <w:rsid w:val="00896F73"/>
    <w:rsid w:val="00897137"/>
    <w:rsid w:val="008A1B49"/>
    <w:rsid w:val="008A1F8A"/>
    <w:rsid w:val="008A2C1C"/>
    <w:rsid w:val="008A3A0F"/>
    <w:rsid w:val="008A3D23"/>
    <w:rsid w:val="008A7BFA"/>
    <w:rsid w:val="008A7F85"/>
    <w:rsid w:val="008B035D"/>
    <w:rsid w:val="008B04E7"/>
    <w:rsid w:val="008B0BAD"/>
    <w:rsid w:val="008B2112"/>
    <w:rsid w:val="008B2D31"/>
    <w:rsid w:val="008B302F"/>
    <w:rsid w:val="008B33A2"/>
    <w:rsid w:val="008B4A59"/>
    <w:rsid w:val="008B6284"/>
    <w:rsid w:val="008B6957"/>
    <w:rsid w:val="008B7C44"/>
    <w:rsid w:val="008C111E"/>
    <w:rsid w:val="008C4A35"/>
    <w:rsid w:val="008C5706"/>
    <w:rsid w:val="008C6962"/>
    <w:rsid w:val="008C7B92"/>
    <w:rsid w:val="008D01A0"/>
    <w:rsid w:val="008D084D"/>
    <w:rsid w:val="008D20B0"/>
    <w:rsid w:val="008D4F0B"/>
    <w:rsid w:val="008D60FB"/>
    <w:rsid w:val="008E1321"/>
    <w:rsid w:val="008E29F2"/>
    <w:rsid w:val="008E2C35"/>
    <w:rsid w:val="008E2F24"/>
    <w:rsid w:val="008E307A"/>
    <w:rsid w:val="008E675C"/>
    <w:rsid w:val="008F2634"/>
    <w:rsid w:val="008F49C8"/>
    <w:rsid w:val="008F7603"/>
    <w:rsid w:val="0090047D"/>
    <w:rsid w:val="00902948"/>
    <w:rsid w:val="00902C59"/>
    <w:rsid w:val="00903BCB"/>
    <w:rsid w:val="00904091"/>
    <w:rsid w:val="00904BBA"/>
    <w:rsid w:val="00905273"/>
    <w:rsid w:val="009057C8"/>
    <w:rsid w:val="009077E3"/>
    <w:rsid w:val="0091272A"/>
    <w:rsid w:val="0091349C"/>
    <w:rsid w:val="00913642"/>
    <w:rsid w:val="00914922"/>
    <w:rsid w:val="009149CE"/>
    <w:rsid w:val="009171F2"/>
    <w:rsid w:val="00920002"/>
    <w:rsid w:val="00923969"/>
    <w:rsid w:val="009242C5"/>
    <w:rsid w:val="00926D2C"/>
    <w:rsid w:val="00926FB0"/>
    <w:rsid w:val="00927287"/>
    <w:rsid w:val="0092764B"/>
    <w:rsid w:val="00931423"/>
    <w:rsid w:val="00931866"/>
    <w:rsid w:val="00931E3F"/>
    <w:rsid w:val="00934569"/>
    <w:rsid w:val="0093483A"/>
    <w:rsid w:val="0093529D"/>
    <w:rsid w:val="00940027"/>
    <w:rsid w:val="0094101A"/>
    <w:rsid w:val="00941617"/>
    <w:rsid w:val="0094200A"/>
    <w:rsid w:val="009434A1"/>
    <w:rsid w:val="00943EF0"/>
    <w:rsid w:val="0094519B"/>
    <w:rsid w:val="00945BD9"/>
    <w:rsid w:val="00946915"/>
    <w:rsid w:val="00946CCC"/>
    <w:rsid w:val="009470D3"/>
    <w:rsid w:val="009501A2"/>
    <w:rsid w:val="00950D72"/>
    <w:rsid w:val="009513CC"/>
    <w:rsid w:val="009520F6"/>
    <w:rsid w:val="00952452"/>
    <w:rsid w:val="009534A7"/>
    <w:rsid w:val="00955B25"/>
    <w:rsid w:val="009564C8"/>
    <w:rsid w:val="009566CE"/>
    <w:rsid w:val="009569CA"/>
    <w:rsid w:val="00960FAB"/>
    <w:rsid w:val="00961185"/>
    <w:rsid w:val="009620CC"/>
    <w:rsid w:val="00962279"/>
    <w:rsid w:val="00962E9F"/>
    <w:rsid w:val="0096323A"/>
    <w:rsid w:val="0096362D"/>
    <w:rsid w:val="00963E6E"/>
    <w:rsid w:val="00964BBA"/>
    <w:rsid w:val="00966B0C"/>
    <w:rsid w:val="00966D66"/>
    <w:rsid w:val="00966ECC"/>
    <w:rsid w:val="009672DE"/>
    <w:rsid w:val="00976587"/>
    <w:rsid w:val="00976678"/>
    <w:rsid w:val="009804F9"/>
    <w:rsid w:val="00980E0F"/>
    <w:rsid w:val="009815CF"/>
    <w:rsid w:val="00981AA2"/>
    <w:rsid w:val="00983DB5"/>
    <w:rsid w:val="0098486E"/>
    <w:rsid w:val="00986748"/>
    <w:rsid w:val="00986F23"/>
    <w:rsid w:val="00986F93"/>
    <w:rsid w:val="00987FC8"/>
    <w:rsid w:val="009912CE"/>
    <w:rsid w:val="009913A2"/>
    <w:rsid w:val="00992F39"/>
    <w:rsid w:val="00993084"/>
    <w:rsid w:val="00993DC4"/>
    <w:rsid w:val="00994F09"/>
    <w:rsid w:val="0099728D"/>
    <w:rsid w:val="009A04AE"/>
    <w:rsid w:val="009A090D"/>
    <w:rsid w:val="009A712C"/>
    <w:rsid w:val="009B0092"/>
    <w:rsid w:val="009B082C"/>
    <w:rsid w:val="009B1565"/>
    <w:rsid w:val="009B1FB7"/>
    <w:rsid w:val="009B2F1E"/>
    <w:rsid w:val="009B56FD"/>
    <w:rsid w:val="009C0453"/>
    <w:rsid w:val="009C0B62"/>
    <w:rsid w:val="009C1E78"/>
    <w:rsid w:val="009C24A4"/>
    <w:rsid w:val="009C2791"/>
    <w:rsid w:val="009C2E57"/>
    <w:rsid w:val="009C2F3B"/>
    <w:rsid w:val="009C3600"/>
    <w:rsid w:val="009C3634"/>
    <w:rsid w:val="009C47DD"/>
    <w:rsid w:val="009C690B"/>
    <w:rsid w:val="009D018F"/>
    <w:rsid w:val="009D0340"/>
    <w:rsid w:val="009D4702"/>
    <w:rsid w:val="009D484F"/>
    <w:rsid w:val="009D666D"/>
    <w:rsid w:val="009E03B4"/>
    <w:rsid w:val="009E2018"/>
    <w:rsid w:val="009E2ED1"/>
    <w:rsid w:val="009E37B9"/>
    <w:rsid w:val="009E390B"/>
    <w:rsid w:val="009E3B0B"/>
    <w:rsid w:val="009E3CC1"/>
    <w:rsid w:val="009E4A36"/>
    <w:rsid w:val="009E4B6E"/>
    <w:rsid w:val="009E7864"/>
    <w:rsid w:val="009E7A87"/>
    <w:rsid w:val="009F1077"/>
    <w:rsid w:val="009F17BB"/>
    <w:rsid w:val="009F1B5D"/>
    <w:rsid w:val="009F2363"/>
    <w:rsid w:val="009F2A75"/>
    <w:rsid w:val="009F307A"/>
    <w:rsid w:val="009F41A1"/>
    <w:rsid w:val="009F5916"/>
    <w:rsid w:val="00A025D2"/>
    <w:rsid w:val="00A03E44"/>
    <w:rsid w:val="00A04FAB"/>
    <w:rsid w:val="00A05148"/>
    <w:rsid w:val="00A0708A"/>
    <w:rsid w:val="00A11F20"/>
    <w:rsid w:val="00A138A0"/>
    <w:rsid w:val="00A14327"/>
    <w:rsid w:val="00A168A6"/>
    <w:rsid w:val="00A16F21"/>
    <w:rsid w:val="00A17865"/>
    <w:rsid w:val="00A21DED"/>
    <w:rsid w:val="00A22226"/>
    <w:rsid w:val="00A245F6"/>
    <w:rsid w:val="00A24678"/>
    <w:rsid w:val="00A246E6"/>
    <w:rsid w:val="00A252C7"/>
    <w:rsid w:val="00A26243"/>
    <w:rsid w:val="00A30033"/>
    <w:rsid w:val="00A30B43"/>
    <w:rsid w:val="00A32678"/>
    <w:rsid w:val="00A330F1"/>
    <w:rsid w:val="00A332AF"/>
    <w:rsid w:val="00A33801"/>
    <w:rsid w:val="00A341F3"/>
    <w:rsid w:val="00A349B3"/>
    <w:rsid w:val="00A34D2D"/>
    <w:rsid w:val="00A36CA6"/>
    <w:rsid w:val="00A36F88"/>
    <w:rsid w:val="00A37C1A"/>
    <w:rsid w:val="00A4127E"/>
    <w:rsid w:val="00A419E5"/>
    <w:rsid w:val="00A4344C"/>
    <w:rsid w:val="00A453AF"/>
    <w:rsid w:val="00A462AC"/>
    <w:rsid w:val="00A464D9"/>
    <w:rsid w:val="00A465B0"/>
    <w:rsid w:val="00A47232"/>
    <w:rsid w:val="00A4750C"/>
    <w:rsid w:val="00A50398"/>
    <w:rsid w:val="00A50FED"/>
    <w:rsid w:val="00A515F8"/>
    <w:rsid w:val="00A55BC7"/>
    <w:rsid w:val="00A562A2"/>
    <w:rsid w:val="00A56675"/>
    <w:rsid w:val="00A56D57"/>
    <w:rsid w:val="00A57BE3"/>
    <w:rsid w:val="00A61497"/>
    <w:rsid w:val="00A62033"/>
    <w:rsid w:val="00A63AF1"/>
    <w:rsid w:val="00A66325"/>
    <w:rsid w:val="00A6637D"/>
    <w:rsid w:val="00A663EF"/>
    <w:rsid w:val="00A66AE2"/>
    <w:rsid w:val="00A67EC6"/>
    <w:rsid w:val="00A74A6C"/>
    <w:rsid w:val="00A755F2"/>
    <w:rsid w:val="00A757F8"/>
    <w:rsid w:val="00A7790C"/>
    <w:rsid w:val="00A81450"/>
    <w:rsid w:val="00A848E8"/>
    <w:rsid w:val="00A84D64"/>
    <w:rsid w:val="00A8739E"/>
    <w:rsid w:val="00A87F54"/>
    <w:rsid w:val="00A9000A"/>
    <w:rsid w:val="00A9062D"/>
    <w:rsid w:val="00A90DCD"/>
    <w:rsid w:val="00A910BF"/>
    <w:rsid w:val="00A92011"/>
    <w:rsid w:val="00A93752"/>
    <w:rsid w:val="00A93E12"/>
    <w:rsid w:val="00A95366"/>
    <w:rsid w:val="00A95E68"/>
    <w:rsid w:val="00A96322"/>
    <w:rsid w:val="00AA2538"/>
    <w:rsid w:val="00AA2721"/>
    <w:rsid w:val="00AA2A9D"/>
    <w:rsid w:val="00AA2FBE"/>
    <w:rsid w:val="00AA300C"/>
    <w:rsid w:val="00AA4ED4"/>
    <w:rsid w:val="00AA5C61"/>
    <w:rsid w:val="00AA5EE2"/>
    <w:rsid w:val="00AA603E"/>
    <w:rsid w:val="00AA6440"/>
    <w:rsid w:val="00AA6804"/>
    <w:rsid w:val="00AA6D72"/>
    <w:rsid w:val="00AA7E24"/>
    <w:rsid w:val="00AB21FD"/>
    <w:rsid w:val="00AB2AA8"/>
    <w:rsid w:val="00AB3A85"/>
    <w:rsid w:val="00AB3AC3"/>
    <w:rsid w:val="00AB3F0B"/>
    <w:rsid w:val="00AB4ADE"/>
    <w:rsid w:val="00AB4CD4"/>
    <w:rsid w:val="00AB50CB"/>
    <w:rsid w:val="00AB5290"/>
    <w:rsid w:val="00AB66B4"/>
    <w:rsid w:val="00AB7848"/>
    <w:rsid w:val="00AB78D1"/>
    <w:rsid w:val="00AC0952"/>
    <w:rsid w:val="00AC1CAC"/>
    <w:rsid w:val="00AC1CD0"/>
    <w:rsid w:val="00AC3A99"/>
    <w:rsid w:val="00AC433F"/>
    <w:rsid w:val="00AC4BC4"/>
    <w:rsid w:val="00AC5190"/>
    <w:rsid w:val="00AC51DB"/>
    <w:rsid w:val="00AC56EF"/>
    <w:rsid w:val="00AC760E"/>
    <w:rsid w:val="00AD0119"/>
    <w:rsid w:val="00AD09A2"/>
    <w:rsid w:val="00AD2778"/>
    <w:rsid w:val="00AD2975"/>
    <w:rsid w:val="00AD3534"/>
    <w:rsid w:val="00AD3849"/>
    <w:rsid w:val="00AD43BA"/>
    <w:rsid w:val="00AD5B36"/>
    <w:rsid w:val="00AD5BFB"/>
    <w:rsid w:val="00AD6019"/>
    <w:rsid w:val="00AD6F15"/>
    <w:rsid w:val="00AD7DB8"/>
    <w:rsid w:val="00AD7E7A"/>
    <w:rsid w:val="00AE0B40"/>
    <w:rsid w:val="00AE0C57"/>
    <w:rsid w:val="00AE1221"/>
    <w:rsid w:val="00AE2E93"/>
    <w:rsid w:val="00AE2F41"/>
    <w:rsid w:val="00AE39CB"/>
    <w:rsid w:val="00AF08FC"/>
    <w:rsid w:val="00AF0D35"/>
    <w:rsid w:val="00AF153F"/>
    <w:rsid w:val="00AF2D77"/>
    <w:rsid w:val="00AF325F"/>
    <w:rsid w:val="00AF37F1"/>
    <w:rsid w:val="00AF46B5"/>
    <w:rsid w:val="00AF5F83"/>
    <w:rsid w:val="00AF615D"/>
    <w:rsid w:val="00B00CC9"/>
    <w:rsid w:val="00B01867"/>
    <w:rsid w:val="00B01BB6"/>
    <w:rsid w:val="00B05644"/>
    <w:rsid w:val="00B05CA2"/>
    <w:rsid w:val="00B07652"/>
    <w:rsid w:val="00B077DE"/>
    <w:rsid w:val="00B10A60"/>
    <w:rsid w:val="00B110CD"/>
    <w:rsid w:val="00B127F3"/>
    <w:rsid w:val="00B1295A"/>
    <w:rsid w:val="00B13080"/>
    <w:rsid w:val="00B164ED"/>
    <w:rsid w:val="00B17945"/>
    <w:rsid w:val="00B21FBA"/>
    <w:rsid w:val="00B2274A"/>
    <w:rsid w:val="00B2576F"/>
    <w:rsid w:val="00B27803"/>
    <w:rsid w:val="00B31A6A"/>
    <w:rsid w:val="00B33D8D"/>
    <w:rsid w:val="00B34445"/>
    <w:rsid w:val="00B36270"/>
    <w:rsid w:val="00B3788F"/>
    <w:rsid w:val="00B402ED"/>
    <w:rsid w:val="00B41170"/>
    <w:rsid w:val="00B416B3"/>
    <w:rsid w:val="00B41AD3"/>
    <w:rsid w:val="00B41B87"/>
    <w:rsid w:val="00B41D24"/>
    <w:rsid w:val="00B42E4C"/>
    <w:rsid w:val="00B42ED7"/>
    <w:rsid w:val="00B44ED4"/>
    <w:rsid w:val="00B46677"/>
    <w:rsid w:val="00B46C87"/>
    <w:rsid w:val="00B502F6"/>
    <w:rsid w:val="00B51BC1"/>
    <w:rsid w:val="00B523F6"/>
    <w:rsid w:val="00B5391D"/>
    <w:rsid w:val="00B53F27"/>
    <w:rsid w:val="00B56DFF"/>
    <w:rsid w:val="00B57136"/>
    <w:rsid w:val="00B62FE2"/>
    <w:rsid w:val="00B64014"/>
    <w:rsid w:val="00B64083"/>
    <w:rsid w:val="00B67E3A"/>
    <w:rsid w:val="00B70A20"/>
    <w:rsid w:val="00B71193"/>
    <w:rsid w:val="00B713CA"/>
    <w:rsid w:val="00B71783"/>
    <w:rsid w:val="00B74698"/>
    <w:rsid w:val="00B752DF"/>
    <w:rsid w:val="00B75900"/>
    <w:rsid w:val="00B76077"/>
    <w:rsid w:val="00B770CC"/>
    <w:rsid w:val="00B80C89"/>
    <w:rsid w:val="00B83DF5"/>
    <w:rsid w:val="00B859BE"/>
    <w:rsid w:val="00B85A44"/>
    <w:rsid w:val="00B8621E"/>
    <w:rsid w:val="00B86CB7"/>
    <w:rsid w:val="00B87061"/>
    <w:rsid w:val="00B87099"/>
    <w:rsid w:val="00B903DA"/>
    <w:rsid w:val="00B917E2"/>
    <w:rsid w:val="00B92946"/>
    <w:rsid w:val="00B92A4E"/>
    <w:rsid w:val="00B92D07"/>
    <w:rsid w:val="00B93166"/>
    <w:rsid w:val="00B95833"/>
    <w:rsid w:val="00B97128"/>
    <w:rsid w:val="00B9754C"/>
    <w:rsid w:val="00BA27E4"/>
    <w:rsid w:val="00BA4A67"/>
    <w:rsid w:val="00BA57E6"/>
    <w:rsid w:val="00BA5B18"/>
    <w:rsid w:val="00BA6BD3"/>
    <w:rsid w:val="00BB02C2"/>
    <w:rsid w:val="00BB08D1"/>
    <w:rsid w:val="00BB174E"/>
    <w:rsid w:val="00BB52C8"/>
    <w:rsid w:val="00BB777C"/>
    <w:rsid w:val="00BB7C3C"/>
    <w:rsid w:val="00BC0D25"/>
    <w:rsid w:val="00BC2AB5"/>
    <w:rsid w:val="00BC4D1A"/>
    <w:rsid w:val="00BC4E78"/>
    <w:rsid w:val="00BC4EBD"/>
    <w:rsid w:val="00BC4F07"/>
    <w:rsid w:val="00BC7646"/>
    <w:rsid w:val="00BC7F18"/>
    <w:rsid w:val="00BD21A0"/>
    <w:rsid w:val="00BD2282"/>
    <w:rsid w:val="00BD2C86"/>
    <w:rsid w:val="00BD3104"/>
    <w:rsid w:val="00BD31E4"/>
    <w:rsid w:val="00BD362F"/>
    <w:rsid w:val="00BD374D"/>
    <w:rsid w:val="00BD7B21"/>
    <w:rsid w:val="00BE0437"/>
    <w:rsid w:val="00BE158F"/>
    <w:rsid w:val="00BE1748"/>
    <w:rsid w:val="00BE1CFA"/>
    <w:rsid w:val="00BE3DBB"/>
    <w:rsid w:val="00BE4220"/>
    <w:rsid w:val="00BE4DA0"/>
    <w:rsid w:val="00BE5800"/>
    <w:rsid w:val="00BE6150"/>
    <w:rsid w:val="00BE69F5"/>
    <w:rsid w:val="00BE7082"/>
    <w:rsid w:val="00BF0056"/>
    <w:rsid w:val="00BF0BDB"/>
    <w:rsid w:val="00BF0E75"/>
    <w:rsid w:val="00BF146A"/>
    <w:rsid w:val="00BF4006"/>
    <w:rsid w:val="00BF41B4"/>
    <w:rsid w:val="00BF4C6A"/>
    <w:rsid w:val="00BF4C96"/>
    <w:rsid w:val="00C03F57"/>
    <w:rsid w:val="00C0527E"/>
    <w:rsid w:val="00C05E0B"/>
    <w:rsid w:val="00C061C3"/>
    <w:rsid w:val="00C065A6"/>
    <w:rsid w:val="00C113B0"/>
    <w:rsid w:val="00C11C88"/>
    <w:rsid w:val="00C11EB3"/>
    <w:rsid w:val="00C13B96"/>
    <w:rsid w:val="00C14BC4"/>
    <w:rsid w:val="00C14F8C"/>
    <w:rsid w:val="00C16BF9"/>
    <w:rsid w:val="00C17842"/>
    <w:rsid w:val="00C20757"/>
    <w:rsid w:val="00C23E57"/>
    <w:rsid w:val="00C2688E"/>
    <w:rsid w:val="00C277D0"/>
    <w:rsid w:val="00C310EE"/>
    <w:rsid w:val="00C3162C"/>
    <w:rsid w:val="00C31EE0"/>
    <w:rsid w:val="00C330DC"/>
    <w:rsid w:val="00C36289"/>
    <w:rsid w:val="00C37340"/>
    <w:rsid w:val="00C37835"/>
    <w:rsid w:val="00C37A54"/>
    <w:rsid w:val="00C400F4"/>
    <w:rsid w:val="00C402E3"/>
    <w:rsid w:val="00C41280"/>
    <w:rsid w:val="00C425A5"/>
    <w:rsid w:val="00C42EA5"/>
    <w:rsid w:val="00C42F31"/>
    <w:rsid w:val="00C43283"/>
    <w:rsid w:val="00C4458E"/>
    <w:rsid w:val="00C44B30"/>
    <w:rsid w:val="00C45C6F"/>
    <w:rsid w:val="00C46129"/>
    <w:rsid w:val="00C46212"/>
    <w:rsid w:val="00C5208E"/>
    <w:rsid w:val="00C520A7"/>
    <w:rsid w:val="00C552F2"/>
    <w:rsid w:val="00C554A2"/>
    <w:rsid w:val="00C55667"/>
    <w:rsid w:val="00C55FD7"/>
    <w:rsid w:val="00C56180"/>
    <w:rsid w:val="00C5755D"/>
    <w:rsid w:val="00C61945"/>
    <w:rsid w:val="00C61CDA"/>
    <w:rsid w:val="00C63A22"/>
    <w:rsid w:val="00C6464C"/>
    <w:rsid w:val="00C67207"/>
    <w:rsid w:val="00C70870"/>
    <w:rsid w:val="00C70D2B"/>
    <w:rsid w:val="00C7165E"/>
    <w:rsid w:val="00C71685"/>
    <w:rsid w:val="00C7388E"/>
    <w:rsid w:val="00C75362"/>
    <w:rsid w:val="00C7658A"/>
    <w:rsid w:val="00C769C0"/>
    <w:rsid w:val="00C769D0"/>
    <w:rsid w:val="00C7761F"/>
    <w:rsid w:val="00C80762"/>
    <w:rsid w:val="00C81DA9"/>
    <w:rsid w:val="00C82209"/>
    <w:rsid w:val="00C83073"/>
    <w:rsid w:val="00C84741"/>
    <w:rsid w:val="00C85020"/>
    <w:rsid w:val="00C8689E"/>
    <w:rsid w:val="00C90093"/>
    <w:rsid w:val="00C901C0"/>
    <w:rsid w:val="00C90752"/>
    <w:rsid w:val="00C91DBD"/>
    <w:rsid w:val="00C927ED"/>
    <w:rsid w:val="00C92C58"/>
    <w:rsid w:val="00C97EAA"/>
    <w:rsid w:val="00CA03EC"/>
    <w:rsid w:val="00CA104F"/>
    <w:rsid w:val="00CA277A"/>
    <w:rsid w:val="00CA2C24"/>
    <w:rsid w:val="00CA5DF9"/>
    <w:rsid w:val="00CA6A66"/>
    <w:rsid w:val="00CA7081"/>
    <w:rsid w:val="00CA71D8"/>
    <w:rsid w:val="00CA7421"/>
    <w:rsid w:val="00CA7EC8"/>
    <w:rsid w:val="00CB151F"/>
    <w:rsid w:val="00CB3510"/>
    <w:rsid w:val="00CB38A7"/>
    <w:rsid w:val="00CB5EB6"/>
    <w:rsid w:val="00CB7526"/>
    <w:rsid w:val="00CB7BD9"/>
    <w:rsid w:val="00CC110D"/>
    <w:rsid w:val="00CC44ED"/>
    <w:rsid w:val="00CC45C8"/>
    <w:rsid w:val="00CC5797"/>
    <w:rsid w:val="00CD070E"/>
    <w:rsid w:val="00CD0B1B"/>
    <w:rsid w:val="00CD1096"/>
    <w:rsid w:val="00CD1962"/>
    <w:rsid w:val="00CD35C6"/>
    <w:rsid w:val="00CD3C18"/>
    <w:rsid w:val="00CD41D9"/>
    <w:rsid w:val="00CD447C"/>
    <w:rsid w:val="00CE0C62"/>
    <w:rsid w:val="00CE3BCD"/>
    <w:rsid w:val="00CE3ECE"/>
    <w:rsid w:val="00CE4AFE"/>
    <w:rsid w:val="00CF0D07"/>
    <w:rsid w:val="00CF2424"/>
    <w:rsid w:val="00CF2EF8"/>
    <w:rsid w:val="00CF3139"/>
    <w:rsid w:val="00CF43B5"/>
    <w:rsid w:val="00CF64BA"/>
    <w:rsid w:val="00CF6C2F"/>
    <w:rsid w:val="00CF6E4A"/>
    <w:rsid w:val="00CF750E"/>
    <w:rsid w:val="00D00B00"/>
    <w:rsid w:val="00D02CAF"/>
    <w:rsid w:val="00D02D7D"/>
    <w:rsid w:val="00D033DB"/>
    <w:rsid w:val="00D0359F"/>
    <w:rsid w:val="00D04722"/>
    <w:rsid w:val="00D05A01"/>
    <w:rsid w:val="00D07CA1"/>
    <w:rsid w:val="00D07CA8"/>
    <w:rsid w:val="00D11D5A"/>
    <w:rsid w:val="00D11F6E"/>
    <w:rsid w:val="00D144EB"/>
    <w:rsid w:val="00D1643E"/>
    <w:rsid w:val="00D177C9"/>
    <w:rsid w:val="00D225A9"/>
    <w:rsid w:val="00D2335E"/>
    <w:rsid w:val="00D241C8"/>
    <w:rsid w:val="00D26C58"/>
    <w:rsid w:val="00D26D5D"/>
    <w:rsid w:val="00D27E77"/>
    <w:rsid w:val="00D3062F"/>
    <w:rsid w:val="00D308D4"/>
    <w:rsid w:val="00D3194A"/>
    <w:rsid w:val="00D32728"/>
    <w:rsid w:val="00D330F9"/>
    <w:rsid w:val="00D3542D"/>
    <w:rsid w:val="00D406D4"/>
    <w:rsid w:val="00D4607F"/>
    <w:rsid w:val="00D460F8"/>
    <w:rsid w:val="00D46FC7"/>
    <w:rsid w:val="00D47068"/>
    <w:rsid w:val="00D507AE"/>
    <w:rsid w:val="00D513AD"/>
    <w:rsid w:val="00D5324E"/>
    <w:rsid w:val="00D54ACE"/>
    <w:rsid w:val="00D54BB2"/>
    <w:rsid w:val="00D55777"/>
    <w:rsid w:val="00D56DC9"/>
    <w:rsid w:val="00D57504"/>
    <w:rsid w:val="00D607F6"/>
    <w:rsid w:val="00D61D39"/>
    <w:rsid w:val="00D6215B"/>
    <w:rsid w:val="00D62825"/>
    <w:rsid w:val="00D62947"/>
    <w:rsid w:val="00D630C8"/>
    <w:rsid w:val="00D635CF"/>
    <w:rsid w:val="00D63826"/>
    <w:rsid w:val="00D63A65"/>
    <w:rsid w:val="00D643FA"/>
    <w:rsid w:val="00D647B9"/>
    <w:rsid w:val="00D64880"/>
    <w:rsid w:val="00D65ECB"/>
    <w:rsid w:val="00D67152"/>
    <w:rsid w:val="00D70343"/>
    <w:rsid w:val="00D72013"/>
    <w:rsid w:val="00D73360"/>
    <w:rsid w:val="00D76C8B"/>
    <w:rsid w:val="00D801CE"/>
    <w:rsid w:val="00D80DF1"/>
    <w:rsid w:val="00D8404A"/>
    <w:rsid w:val="00D8760D"/>
    <w:rsid w:val="00D90023"/>
    <w:rsid w:val="00D918C7"/>
    <w:rsid w:val="00D92020"/>
    <w:rsid w:val="00D94E13"/>
    <w:rsid w:val="00D9528E"/>
    <w:rsid w:val="00D961D4"/>
    <w:rsid w:val="00D967B1"/>
    <w:rsid w:val="00D97A72"/>
    <w:rsid w:val="00DA0AD7"/>
    <w:rsid w:val="00DA1136"/>
    <w:rsid w:val="00DA14B8"/>
    <w:rsid w:val="00DA1DAE"/>
    <w:rsid w:val="00DA1ED2"/>
    <w:rsid w:val="00DA2984"/>
    <w:rsid w:val="00DA41AC"/>
    <w:rsid w:val="00DA5910"/>
    <w:rsid w:val="00DA6157"/>
    <w:rsid w:val="00DA7640"/>
    <w:rsid w:val="00DA7709"/>
    <w:rsid w:val="00DB0BD9"/>
    <w:rsid w:val="00DB0C03"/>
    <w:rsid w:val="00DB1C58"/>
    <w:rsid w:val="00DB21DB"/>
    <w:rsid w:val="00DB2F72"/>
    <w:rsid w:val="00DB2FCB"/>
    <w:rsid w:val="00DB3E6B"/>
    <w:rsid w:val="00DB4E18"/>
    <w:rsid w:val="00DB578B"/>
    <w:rsid w:val="00DB5828"/>
    <w:rsid w:val="00DB697B"/>
    <w:rsid w:val="00DB7A6F"/>
    <w:rsid w:val="00DC0B1F"/>
    <w:rsid w:val="00DC0B80"/>
    <w:rsid w:val="00DC24C6"/>
    <w:rsid w:val="00DC479F"/>
    <w:rsid w:val="00DC6169"/>
    <w:rsid w:val="00DD1B58"/>
    <w:rsid w:val="00DD24A6"/>
    <w:rsid w:val="00DD29CB"/>
    <w:rsid w:val="00DD2D0F"/>
    <w:rsid w:val="00DD37DB"/>
    <w:rsid w:val="00DD3DBD"/>
    <w:rsid w:val="00DD4248"/>
    <w:rsid w:val="00DD433C"/>
    <w:rsid w:val="00DD4492"/>
    <w:rsid w:val="00DD4912"/>
    <w:rsid w:val="00DD49DC"/>
    <w:rsid w:val="00DE0152"/>
    <w:rsid w:val="00DE126E"/>
    <w:rsid w:val="00DE1422"/>
    <w:rsid w:val="00DE142D"/>
    <w:rsid w:val="00DE21C0"/>
    <w:rsid w:val="00DE2A0E"/>
    <w:rsid w:val="00DE31F3"/>
    <w:rsid w:val="00DE347B"/>
    <w:rsid w:val="00DE56B0"/>
    <w:rsid w:val="00DE60A9"/>
    <w:rsid w:val="00DE6E9C"/>
    <w:rsid w:val="00DF038D"/>
    <w:rsid w:val="00DF068B"/>
    <w:rsid w:val="00DF3151"/>
    <w:rsid w:val="00DF364D"/>
    <w:rsid w:val="00DF3736"/>
    <w:rsid w:val="00DF4566"/>
    <w:rsid w:val="00DF4867"/>
    <w:rsid w:val="00DF4913"/>
    <w:rsid w:val="00DF52D7"/>
    <w:rsid w:val="00E00D84"/>
    <w:rsid w:val="00E010FD"/>
    <w:rsid w:val="00E02A4C"/>
    <w:rsid w:val="00E02B98"/>
    <w:rsid w:val="00E0315B"/>
    <w:rsid w:val="00E03455"/>
    <w:rsid w:val="00E037BD"/>
    <w:rsid w:val="00E04A8D"/>
    <w:rsid w:val="00E055A4"/>
    <w:rsid w:val="00E07CCD"/>
    <w:rsid w:val="00E07F72"/>
    <w:rsid w:val="00E101AF"/>
    <w:rsid w:val="00E1112C"/>
    <w:rsid w:val="00E116B5"/>
    <w:rsid w:val="00E13E6A"/>
    <w:rsid w:val="00E14F52"/>
    <w:rsid w:val="00E15421"/>
    <w:rsid w:val="00E15756"/>
    <w:rsid w:val="00E15AAE"/>
    <w:rsid w:val="00E160FB"/>
    <w:rsid w:val="00E163C0"/>
    <w:rsid w:val="00E16C39"/>
    <w:rsid w:val="00E16F58"/>
    <w:rsid w:val="00E20B96"/>
    <w:rsid w:val="00E22626"/>
    <w:rsid w:val="00E22FC2"/>
    <w:rsid w:val="00E2357D"/>
    <w:rsid w:val="00E23C13"/>
    <w:rsid w:val="00E23D71"/>
    <w:rsid w:val="00E2420A"/>
    <w:rsid w:val="00E25D73"/>
    <w:rsid w:val="00E27328"/>
    <w:rsid w:val="00E30715"/>
    <w:rsid w:val="00E30DB7"/>
    <w:rsid w:val="00E30EEE"/>
    <w:rsid w:val="00E317A6"/>
    <w:rsid w:val="00E318D2"/>
    <w:rsid w:val="00E322F4"/>
    <w:rsid w:val="00E32768"/>
    <w:rsid w:val="00E32D46"/>
    <w:rsid w:val="00E34EAC"/>
    <w:rsid w:val="00E34F11"/>
    <w:rsid w:val="00E369A1"/>
    <w:rsid w:val="00E36AA8"/>
    <w:rsid w:val="00E37A41"/>
    <w:rsid w:val="00E41113"/>
    <w:rsid w:val="00E41940"/>
    <w:rsid w:val="00E41A58"/>
    <w:rsid w:val="00E422DA"/>
    <w:rsid w:val="00E4271B"/>
    <w:rsid w:val="00E433B8"/>
    <w:rsid w:val="00E43929"/>
    <w:rsid w:val="00E44898"/>
    <w:rsid w:val="00E44943"/>
    <w:rsid w:val="00E46713"/>
    <w:rsid w:val="00E533F5"/>
    <w:rsid w:val="00E53ECF"/>
    <w:rsid w:val="00E57CBD"/>
    <w:rsid w:val="00E60A7F"/>
    <w:rsid w:val="00E61A53"/>
    <w:rsid w:val="00E61B3E"/>
    <w:rsid w:val="00E625EC"/>
    <w:rsid w:val="00E626B2"/>
    <w:rsid w:val="00E6440E"/>
    <w:rsid w:val="00E65FBD"/>
    <w:rsid w:val="00E6661A"/>
    <w:rsid w:val="00E70204"/>
    <w:rsid w:val="00E70629"/>
    <w:rsid w:val="00E71B4D"/>
    <w:rsid w:val="00E7483A"/>
    <w:rsid w:val="00E759F7"/>
    <w:rsid w:val="00E7702F"/>
    <w:rsid w:val="00E771CF"/>
    <w:rsid w:val="00E809B2"/>
    <w:rsid w:val="00E81FB3"/>
    <w:rsid w:val="00E82A82"/>
    <w:rsid w:val="00E8354F"/>
    <w:rsid w:val="00E84328"/>
    <w:rsid w:val="00E84B4B"/>
    <w:rsid w:val="00E85FFD"/>
    <w:rsid w:val="00E9095D"/>
    <w:rsid w:val="00E918D2"/>
    <w:rsid w:val="00E92472"/>
    <w:rsid w:val="00E93CCD"/>
    <w:rsid w:val="00E943FA"/>
    <w:rsid w:val="00E94C9A"/>
    <w:rsid w:val="00E96695"/>
    <w:rsid w:val="00E96806"/>
    <w:rsid w:val="00EA29DF"/>
    <w:rsid w:val="00EA4528"/>
    <w:rsid w:val="00EA6BFD"/>
    <w:rsid w:val="00EA79BA"/>
    <w:rsid w:val="00EB5AAE"/>
    <w:rsid w:val="00EB5F7E"/>
    <w:rsid w:val="00EB62C0"/>
    <w:rsid w:val="00EB633A"/>
    <w:rsid w:val="00EC0FD6"/>
    <w:rsid w:val="00EC232D"/>
    <w:rsid w:val="00EC4050"/>
    <w:rsid w:val="00EC4A66"/>
    <w:rsid w:val="00EC5363"/>
    <w:rsid w:val="00EC5D60"/>
    <w:rsid w:val="00EC74C5"/>
    <w:rsid w:val="00ED2CFB"/>
    <w:rsid w:val="00ED36BC"/>
    <w:rsid w:val="00ED5F2D"/>
    <w:rsid w:val="00ED6A92"/>
    <w:rsid w:val="00ED7CC2"/>
    <w:rsid w:val="00EE166A"/>
    <w:rsid w:val="00EE2BC5"/>
    <w:rsid w:val="00EE2D4F"/>
    <w:rsid w:val="00EE34B7"/>
    <w:rsid w:val="00EE57A6"/>
    <w:rsid w:val="00EE6151"/>
    <w:rsid w:val="00EF00A3"/>
    <w:rsid w:val="00EF01B2"/>
    <w:rsid w:val="00EF2121"/>
    <w:rsid w:val="00EF5D22"/>
    <w:rsid w:val="00EF5E14"/>
    <w:rsid w:val="00EF6275"/>
    <w:rsid w:val="00EF656D"/>
    <w:rsid w:val="00EF67A1"/>
    <w:rsid w:val="00EF6EC9"/>
    <w:rsid w:val="00EF703A"/>
    <w:rsid w:val="00EF7F2F"/>
    <w:rsid w:val="00F00152"/>
    <w:rsid w:val="00F01784"/>
    <w:rsid w:val="00F024CB"/>
    <w:rsid w:val="00F03B31"/>
    <w:rsid w:val="00F0453E"/>
    <w:rsid w:val="00F04C5C"/>
    <w:rsid w:val="00F07FDF"/>
    <w:rsid w:val="00F12104"/>
    <w:rsid w:val="00F12D3B"/>
    <w:rsid w:val="00F13533"/>
    <w:rsid w:val="00F14555"/>
    <w:rsid w:val="00F15883"/>
    <w:rsid w:val="00F16BBA"/>
    <w:rsid w:val="00F177D2"/>
    <w:rsid w:val="00F17B16"/>
    <w:rsid w:val="00F17B30"/>
    <w:rsid w:val="00F20BC1"/>
    <w:rsid w:val="00F20CC7"/>
    <w:rsid w:val="00F2220A"/>
    <w:rsid w:val="00F223C3"/>
    <w:rsid w:val="00F2336A"/>
    <w:rsid w:val="00F26110"/>
    <w:rsid w:val="00F3029B"/>
    <w:rsid w:val="00F31BD2"/>
    <w:rsid w:val="00F33583"/>
    <w:rsid w:val="00F33B46"/>
    <w:rsid w:val="00F34A6C"/>
    <w:rsid w:val="00F36311"/>
    <w:rsid w:val="00F377E9"/>
    <w:rsid w:val="00F4010A"/>
    <w:rsid w:val="00F408EA"/>
    <w:rsid w:val="00F40C2A"/>
    <w:rsid w:val="00F4181B"/>
    <w:rsid w:val="00F41847"/>
    <w:rsid w:val="00F41C1F"/>
    <w:rsid w:val="00F44BE6"/>
    <w:rsid w:val="00F44EF8"/>
    <w:rsid w:val="00F459A5"/>
    <w:rsid w:val="00F50FBA"/>
    <w:rsid w:val="00F5102E"/>
    <w:rsid w:val="00F51AF4"/>
    <w:rsid w:val="00F51C33"/>
    <w:rsid w:val="00F52546"/>
    <w:rsid w:val="00F52C6B"/>
    <w:rsid w:val="00F53C81"/>
    <w:rsid w:val="00F54E3F"/>
    <w:rsid w:val="00F56043"/>
    <w:rsid w:val="00F56D86"/>
    <w:rsid w:val="00F57AFF"/>
    <w:rsid w:val="00F61DBC"/>
    <w:rsid w:val="00F63D23"/>
    <w:rsid w:val="00F63E47"/>
    <w:rsid w:val="00F641D6"/>
    <w:rsid w:val="00F654D5"/>
    <w:rsid w:val="00F6676C"/>
    <w:rsid w:val="00F67667"/>
    <w:rsid w:val="00F67E80"/>
    <w:rsid w:val="00F70866"/>
    <w:rsid w:val="00F719F2"/>
    <w:rsid w:val="00F73C66"/>
    <w:rsid w:val="00F74471"/>
    <w:rsid w:val="00F744BE"/>
    <w:rsid w:val="00F750C5"/>
    <w:rsid w:val="00F75FBA"/>
    <w:rsid w:val="00F75FC8"/>
    <w:rsid w:val="00F76783"/>
    <w:rsid w:val="00F767B6"/>
    <w:rsid w:val="00F76EDC"/>
    <w:rsid w:val="00F77453"/>
    <w:rsid w:val="00F80908"/>
    <w:rsid w:val="00F84EF8"/>
    <w:rsid w:val="00F85A78"/>
    <w:rsid w:val="00F86601"/>
    <w:rsid w:val="00F878B1"/>
    <w:rsid w:val="00F90893"/>
    <w:rsid w:val="00F90BE5"/>
    <w:rsid w:val="00F90C15"/>
    <w:rsid w:val="00F91C63"/>
    <w:rsid w:val="00F92F1F"/>
    <w:rsid w:val="00F9443F"/>
    <w:rsid w:val="00F96A83"/>
    <w:rsid w:val="00F97D51"/>
    <w:rsid w:val="00FA0E20"/>
    <w:rsid w:val="00FA117B"/>
    <w:rsid w:val="00FA20E3"/>
    <w:rsid w:val="00FA2E56"/>
    <w:rsid w:val="00FA4C36"/>
    <w:rsid w:val="00FA6407"/>
    <w:rsid w:val="00FA72F2"/>
    <w:rsid w:val="00FA7C8B"/>
    <w:rsid w:val="00FB1195"/>
    <w:rsid w:val="00FB128B"/>
    <w:rsid w:val="00FB2E62"/>
    <w:rsid w:val="00FB3902"/>
    <w:rsid w:val="00FB60CE"/>
    <w:rsid w:val="00FB6398"/>
    <w:rsid w:val="00FB6A8E"/>
    <w:rsid w:val="00FC042E"/>
    <w:rsid w:val="00FC061D"/>
    <w:rsid w:val="00FC078D"/>
    <w:rsid w:val="00FC0EF3"/>
    <w:rsid w:val="00FC1ED2"/>
    <w:rsid w:val="00FC3204"/>
    <w:rsid w:val="00FC33B5"/>
    <w:rsid w:val="00FC3BD1"/>
    <w:rsid w:val="00FC740F"/>
    <w:rsid w:val="00FC7916"/>
    <w:rsid w:val="00FD198E"/>
    <w:rsid w:val="00FD1E79"/>
    <w:rsid w:val="00FD2AFE"/>
    <w:rsid w:val="00FD66E2"/>
    <w:rsid w:val="00FD7A4F"/>
    <w:rsid w:val="00FE08DC"/>
    <w:rsid w:val="00FE2019"/>
    <w:rsid w:val="00FE324F"/>
    <w:rsid w:val="00FE5DF3"/>
    <w:rsid w:val="00FE7085"/>
    <w:rsid w:val="00FF3BB9"/>
    <w:rsid w:val="00FF4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0B2"/>
    <w:pPr>
      <w:tabs>
        <w:tab w:val="left" w:pos="720"/>
        <w:tab w:val="left" w:pos="1440"/>
        <w:tab w:val="left" w:pos="2160"/>
        <w:tab w:val="left" w:pos="2880"/>
        <w:tab w:val="left" w:pos="3600"/>
        <w:tab w:val="left" w:pos="4320"/>
        <w:tab w:val="left" w:pos="5040"/>
      </w:tabs>
    </w:pPr>
    <w:rPr>
      <w:rFonts w:ascii="Arial" w:hAnsi="Arial"/>
      <w:lang w:eastAsia="en-US"/>
    </w:rPr>
  </w:style>
  <w:style w:type="paragraph" w:styleId="Heading1">
    <w:name w:val="heading 1"/>
    <w:basedOn w:val="Normal"/>
    <w:next w:val="Normal"/>
    <w:link w:val="Heading1Char"/>
    <w:qFormat/>
    <w:rsid w:val="008A7BFA"/>
    <w:pPr>
      <w:keepNext/>
      <w:keepLines/>
      <w:numPr>
        <w:ilvl w:val="1"/>
        <w:numId w:val="4"/>
      </w:numPr>
      <w:tabs>
        <w:tab w:val="clear" w:pos="720"/>
        <w:tab w:val="clear" w:pos="1440"/>
        <w:tab w:val="clear" w:pos="2160"/>
        <w:tab w:val="clear" w:pos="2880"/>
        <w:tab w:val="clear" w:pos="3600"/>
        <w:tab w:val="clear" w:pos="4320"/>
        <w:tab w:val="clear" w:pos="5040"/>
        <w:tab w:val="left" w:pos="709"/>
      </w:tabs>
      <w:spacing w:after="120" w:line="276" w:lineRule="auto"/>
      <w:ind w:left="709" w:hanging="709"/>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1B022D"/>
    <w:pPr>
      <w:keepNext/>
      <w:tabs>
        <w:tab w:val="clear" w:pos="5040"/>
      </w:tabs>
      <w:spacing w:before="60" w:after="60"/>
      <w:ind w:left="1440" w:right="-514" w:hanging="1440"/>
      <w:jc w:val="center"/>
      <w:outlineLvl w:val="1"/>
    </w:pPr>
    <w:rPr>
      <w:rFonts w:cs="Arial"/>
      <w:b/>
    </w:rPr>
  </w:style>
  <w:style w:type="paragraph" w:styleId="Heading3">
    <w:name w:val="heading 3"/>
    <w:basedOn w:val="Normal"/>
    <w:next w:val="Normal"/>
    <w:link w:val="Heading3Char"/>
    <w:semiHidden/>
    <w:unhideWhenUsed/>
    <w:qFormat/>
    <w:rsid w:val="003753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B022D"/>
    <w:pPr>
      <w:keepNext/>
      <w:tabs>
        <w:tab w:val="clear" w:pos="5040"/>
      </w:tabs>
      <w:ind w:left="1440" w:right="-514" w:hanging="1440"/>
      <w:outlineLvl w:val="3"/>
    </w:pPr>
    <w:rPr>
      <w:rFonts w:cs="Arial"/>
      <w:b/>
      <w:bCs/>
    </w:rPr>
  </w:style>
  <w:style w:type="paragraph" w:styleId="Heading6">
    <w:name w:val="heading 6"/>
    <w:basedOn w:val="Normal"/>
    <w:next w:val="Normal"/>
    <w:link w:val="Heading6Char"/>
    <w:qFormat/>
    <w:rsid w:val="001B022D"/>
    <w:pPr>
      <w:keepNext/>
      <w:tabs>
        <w:tab w:val="clear" w:pos="720"/>
        <w:tab w:val="clear" w:pos="1440"/>
        <w:tab w:val="clear" w:pos="2160"/>
        <w:tab w:val="clear" w:pos="2880"/>
        <w:tab w:val="clear" w:pos="3600"/>
        <w:tab w:val="clear" w:pos="4320"/>
        <w:tab w:val="clear" w:pos="5040"/>
      </w:tabs>
      <w:spacing w:before="40" w:after="40"/>
      <w:ind w:firstLine="12"/>
      <w:jc w:val="center"/>
      <w:outlineLvl w:val="5"/>
    </w:pPr>
    <w:rPr>
      <w:rFonts w:cs="Arial"/>
      <w:b/>
    </w:rPr>
  </w:style>
  <w:style w:type="paragraph" w:styleId="Heading7">
    <w:name w:val="heading 7"/>
    <w:basedOn w:val="Normal"/>
    <w:next w:val="Normal"/>
    <w:link w:val="Heading7Char"/>
    <w:qFormat/>
    <w:rsid w:val="001B022D"/>
    <w:pPr>
      <w:keepNext/>
      <w:tabs>
        <w:tab w:val="clear" w:pos="720"/>
        <w:tab w:val="clear" w:pos="1440"/>
        <w:tab w:val="clear" w:pos="2160"/>
        <w:tab w:val="clear" w:pos="2880"/>
        <w:tab w:val="clear" w:pos="3600"/>
        <w:tab w:val="clear" w:pos="4320"/>
        <w:tab w:val="clear" w:pos="5040"/>
      </w:tabs>
      <w:spacing w:before="60" w:after="60"/>
      <w:ind w:left="-18" w:right="-18" w:hanging="18"/>
      <w:jc w:val="center"/>
      <w:outlineLvl w:val="6"/>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pPr>
      <w:tabs>
        <w:tab w:val="clear" w:pos="720"/>
        <w:tab w:val="clear" w:pos="1440"/>
        <w:tab w:val="clear" w:pos="2160"/>
        <w:tab w:val="clear" w:pos="2880"/>
        <w:tab w:val="clear" w:pos="3600"/>
        <w:tab w:val="clear" w:pos="4320"/>
        <w:tab w:val="clear" w:pos="5040"/>
      </w:tabs>
    </w:pPr>
  </w:style>
  <w:style w:type="paragraph" w:styleId="Header">
    <w:name w:val="header"/>
    <w:basedOn w:val="Normal"/>
    <w:link w:val="HeaderChar"/>
    <w:pPr>
      <w:tabs>
        <w:tab w:val="clear" w:pos="720"/>
        <w:tab w:val="clear" w:pos="1440"/>
        <w:tab w:val="clear" w:pos="2160"/>
        <w:tab w:val="clear" w:pos="2880"/>
        <w:tab w:val="clear" w:pos="3600"/>
        <w:tab w:val="clear" w:pos="4320"/>
        <w:tab w:val="clear" w:pos="5040"/>
        <w:tab w:val="center" w:pos="4153"/>
        <w:tab w:val="right" w:pos="8306"/>
      </w:tabs>
    </w:pPr>
  </w:style>
  <w:style w:type="paragraph" w:styleId="Footer">
    <w:name w:val="footer"/>
    <w:basedOn w:val="Normal"/>
    <w:link w:val="FooterChar"/>
    <w:uiPriority w:val="99"/>
    <w:pPr>
      <w:tabs>
        <w:tab w:val="clear" w:pos="720"/>
        <w:tab w:val="clear" w:pos="1440"/>
        <w:tab w:val="clear" w:pos="2160"/>
        <w:tab w:val="clear" w:pos="2880"/>
        <w:tab w:val="clear" w:pos="3600"/>
        <w:tab w:val="clear" w:pos="4320"/>
        <w:tab w:val="clear" w:pos="5040"/>
        <w:tab w:val="center" w:pos="4153"/>
        <w:tab w:val="right" w:pos="8306"/>
      </w:tabs>
    </w:pPr>
  </w:style>
  <w:style w:type="character" w:styleId="Hyperlink">
    <w:name w:val="Hyperlink"/>
    <w:rsid w:val="00467AF1"/>
    <w:rPr>
      <w:color w:val="0000FF"/>
      <w:u w:val="single"/>
    </w:rPr>
  </w:style>
  <w:style w:type="character" w:styleId="Strong">
    <w:name w:val="Strong"/>
    <w:uiPriority w:val="22"/>
    <w:qFormat/>
    <w:rsid w:val="00F26110"/>
    <w:rPr>
      <w:b/>
      <w:bCs/>
    </w:rPr>
  </w:style>
  <w:style w:type="paragraph" w:styleId="BalloonText">
    <w:name w:val="Balloon Text"/>
    <w:basedOn w:val="Normal"/>
    <w:link w:val="BalloonTextChar"/>
    <w:rsid w:val="003E68EA"/>
    <w:rPr>
      <w:rFonts w:ascii="Tahoma" w:hAnsi="Tahoma" w:cs="Tahoma"/>
      <w:sz w:val="16"/>
      <w:szCs w:val="16"/>
    </w:rPr>
  </w:style>
  <w:style w:type="character" w:customStyle="1" w:styleId="BalloonTextChar">
    <w:name w:val="Balloon Text Char"/>
    <w:basedOn w:val="DefaultParagraphFont"/>
    <w:link w:val="BalloonText"/>
    <w:rsid w:val="003E68EA"/>
    <w:rPr>
      <w:rFonts w:ascii="Tahoma" w:hAnsi="Tahoma" w:cs="Tahoma"/>
      <w:sz w:val="16"/>
      <w:szCs w:val="16"/>
      <w:lang w:eastAsia="en-US"/>
    </w:rPr>
  </w:style>
  <w:style w:type="character" w:customStyle="1" w:styleId="Heading2Char">
    <w:name w:val="Heading 2 Char"/>
    <w:basedOn w:val="DefaultParagraphFont"/>
    <w:link w:val="Heading2"/>
    <w:rsid w:val="001B022D"/>
    <w:rPr>
      <w:rFonts w:ascii="Arial" w:hAnsi="Arial" w:cs="Arial"/>
      <w:b/>
      <w:lang w:eastAsia="en-US"/>
    </w:rPr>
  </w:style>
  <w:style w:type="character" w:customStyle="1" w:styleId="Heading4Char">
    <w:name w:val="Heading 4 Char"/>
    <w:basedOn w:val="DefaultParagraphFont"/>
    <w:link w:val="Heading4"/>
    <w:rsid w:val="001B022D"/>
    <w:rPr>
      <w:rFonts w:ascii="Arial" w:hAnsi="Arial" w:cs="Arial"/>
      <w:b/>
      <w:bCs/>
      <w:lang w:eastAsia="en-US"/>
    </w:rPr>
  </w:style>
  <w:style w:type="character" w:customStyle="1" w:styleId="Heading6Char">
    <w:name w:val="Heading 6 Char"/>
    <w:basedOn w:val="DefaultParagraphFont"/>
    <w:link w:val="Heading6"/>
    <w:rsid w:val="001B022D"/>
    <w:rPr>
      <w:rFonts w:ascii="Arial" w:hAnsi="Arial" w:cs="Arial"/>
      <w:b/>
      <w:lang w:eastAsia="en-US"/>
    </w:rPr>
  </w:style>
  <w:style w:type="character" w:customStyle="1" w:styleId="Heading7Char">
    <w:name w:val="Heading 7 Char"/>
    <w:basedOn w:val="DefaultParagraphFont"/>
    <w:link w:val="Heading7"/>
    <w:rsid w:val="001B022D"/>
    <w:rPr>
      <w:rFonts w:ascii="Arial" w:hAnsi="Arial" w:cs="Arial"/>
      <w:b/>
      <w:lang w:eastAsia="en-US"/>
    </w:rPr>
  </w:style>
  <w:style w:type="character" w:customStyle="1" w:styleId="HeaderChar">
    <w:name w:val="Header Char"/>
    <w:basedOn w:val="DefaultParagraphFont"/>
    <w:link w:val="Header"/>
    <w:rsid w:val="001B022D"/>
    <w:rPr>
      <w:rFonts w:ascii="Arial" w:hAnsi="Arial"/>
      <w:lang w:eastAsia="en-US"/>
    </w:rPr>
  </w:style>
  <w:style w:type="character" w:customStyle="1" w:styleId="FooterChar">
    <w:name w:val="Footer Char"/>
    <w:basedOn w:val="DefaultParagraphFont"/>
    <w:link w:val="Footer"/>
    <w:uiPriority w:val="99"/>
    <w:rsid w:val="001B022D"/>
    <w:rPr>
      <w:rFonts w:ascii="Arial" w:hAnsi="Arial"/>
      <w:lang w:eastAsia="en-US"/>
    </w:rPr>
  </w:style>
  <w:style w:type="paragraph" w:customStyle="1" w:styleId="BodyAgenda">
    <w:name w:val="BodyAgenda"/>
    <w:basedOn w:val="Normal"/>
    <w:rsid w:val="001B022D"/>
    <w:pPr>
      <w:tabs>
        <w:tab w:val="decimal" w:pos="360"/>
        <w:tab w:val="left" w:pos="5760"/>
        <w:tab w:val="left" w:pos="6480"/>
        <w:tab w:val="left" w:pos="7200"/>
        <w:tab w:val="left" w:pos="7920"/>
        <w:tab w:val="left" w:pos="8640"/>
      </w:tabs>
      <w:spacing w:before="240"/>
      <w:ind w:left="720" w:hanging="720"/>
    </w:pPr>
    <w:rPr>
      <w:rFonts w:ascii="Helv" w:hAnsi="Helv"/>
    </w:rPr>
  </w:style>
  <w:style w:type="paragraph" w:styleId="BodyText3">
    <w:name w:val="Body Text 3"/>
    <w:basedOn w:val="Normal"/>
    <w:link w:val="BodyText3Char"/>
    <w:rsid w:val="001B022D"/>
    <w:rPr>
      <w:rFonts w:ascii="Bookman Old Style" w:hAnsi="Bookman Old Style"/>
      <w:b/>
      <w:bCs/>
    </w:rPr>
  </w:style>
  <w:style w:type="character" w:customStyle="1" w:styleId="BodyText3Char">
    <w:name w:val="Body Text 3 Char"/>
    <w:basedOn w:val="DefaultParagraphFont"/>
    <w:link w:val="BodyText3"/>
    <w:rsid w:val="001B022D"/>
    <w:rPr>
      <w:rFonts w:ascii="Bookman Old Style" w:hAnsi="Bookman Old Style"/>
      <w:b/>
      <w:bCs/>
      <w:lang w:eastAsia="en-US"/>
    </w:rPr>
  </w:style>
  <w:style w:type="paragraph" w:styleId="ListParagraph">
    <w:name w:val="List Paragraph"/>
    <w:basedOn w:val="Normal"/>
    <w:link w:val="ListParagraphChar"/>
    <w:uiPriority w:val="34"/>
    <w:qFormat/>
    <w:rsid w:val="001B022D"/>
    <w:pPr>
      <w:tabs>
        <w:tab w:val="clear" w:pos="720"/>
        <w:tab w:val="clear" w:pos="1440"/>
        <w:tab w:val="clear" w:pos="2160"/>
        <w:tab w:val="clear" w:pos="2880"/>
        <w:tab w:val="clear" w:pos="3600"/>
        <w:tab w:val="clear" w:pos="4320"/>
        <w:tab w:val="clear" w:pos="5040"/>
      </w:tabs>
      <w:spacing w:after="200" w:line="276" w:lineRule="auto"/>
      <w:ind w:left="720"/>
      <w:contextualSpacing/>
    </w:pPr>
    <w:rPr>
      <w:rFonts w:ascii="Calibri" w:hAnsi="Calibri"/>
      <w:sz w:val="22"/>
      <w:szCs w:val="22"/>
    </w:rPr>
  </w:style>
  <w:style w:type="paragraph" w:styleId="Title">
    <w:name w:val="Title"/>
    <w:basedOn w:val="Normal"/>
    <w:link w:val="TitleChar"/>
    <w:qFormat/>
    <w:rsid w:val="001B022D"/>
    <w:pPr>
      <w:jc w:val="center"/>
    </w:pPr>
    <w:rPr>
      <w:u w:val="single"/>
    </w:rPr>
  </w:style>
  <w:style w:type="character" w:customStyle="1" w:styleId="TitleChar">
    <w:name w:val="Title Char"/>
    <w:basedOn w:val="DefaultParagraphFont"/>
    <w:link w:val="Title"/>
    <w:rsid w:val="001B022D"/>
    <w:rPr>
      <w:rFonts w:ascii="Arial" w:hAnsi="Arial"/>
      <w:u w:val="single"/>
      <w:lang w:eastAsia="en-US"/>
    </w:rPr>
  </w:style>
  <w:style w:type="character" w:customStyle="1" w:styleId="ListParagraphChar">
    <w:name w:val="List Paragraph Char"/>
    <w:link w:val="ListParagraph"/>
    <w:uiPriority w:val="34"/>
    <w:locked/>
    <w:rsid w:val="001B022D"/>
    <w:rPr>
      <w:rFonts w:ascii="Calibri" w:hAnsi="Calibri"/>
      <w:sz w:val="22"/>
      <w:szCs w:val="22"/>
      <w:lang w:eastAsia="en-US"/>
    </w:rPr>
  </w:style>
  <w:style w:type="paragraph" w:customStyle="1" w:styleId="Default">
    <w:name w:val="Default"/>
    <w:uiPriority w:val="99"/>
    <w:rsid w:val="001B022D"/>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1B022D"/>
    <w:pPr>
      <w:spacing w:after="120"/>
      <w:ind w:left="283"/>
    </w:pPr>
  </w:style>
  <w:style w:type="character" w:customStyle="1" w:styleId="BodyTextIndentChar">
    <w:name w:val="Body Text Indent Char"/>
    <w:basedOn w:val="DefaultParagraphFont"/>
    <w:link w:val="BodyTextIndent"/>
    <w:rsid w:val="001B022D"/>
    <w:rPr>
      <w:rFonts w:ascii="Arial" w:hAnsi="Arial"/>
      <w:lang w:eastAsia="en-US"/>
    </w:rPr>
  </w:style>
  <w:style w:type="paragraph" w:styleId="BodyText">
    <w:name w:val="Body Text"/>
    <w:basedOn w:val="Normal"/>
    <w:link w:val="BodyTextChar"/>
    <w:uiPriority w:val="1"/>
    <w:qFormat/>
    <w:rsid w:val="001B022D"/>
    <w:pPr>
      <w:spacing w:after="120"/>
    </w:pPr>
  </w:style>
  <w:style w:type="character" w:customStyle="1" w:styleId="BodyTextChar">
    <w:name w:val="Body Text Char"/>
    <w:basedOn w:val="DefaultParagraphFont"/>
    <w:link w:val="BodyText"/>
    <w:uiPriority w:val="1"/>
    <w:rsid w:val="001B022D"/>
    <w:rPr>
      <w:rFonts w:ascii="Arial" w:hAnsi="Arial"/>
      <w:lang w:eastAsia="en-US"/>
    </w:rPr>
  </w:style>
  <w:style w:type="table" w:styleId="TableGrid">
    <w:name w:val="Table Grid"/>
    <w:basedOn w:val="TableNormal"/>
    <w:rsid w:val="001B022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senrhsennumparatext">
    <w:name w:val="ends enrhs ennumparatext"/>
    <w:basedOn w:val="DefaultParagraphFont"/>
    <w:rsid w:val="00872B37"/>
  </w:style>
  <w:style w:type="paragraph" w:styleId="FootnoteText">
    <w:name w:val="footnote text"/>
    <w:basedOn w:val="Normal"/>
    <w:link w:val="FootnoteTextChar"/>
    <w:unhideWhenUsed/>
    <w:rsid w:val="00E4271B"/>
    <w:pPr>
      <w:tabs>
        <w:tab w:val="clear" w:pos="720"/>
        <w:tab w:val="clear" w:pos="1440"/>
        <w:tab w:val="clear" w:pos="2160"/>
        <w:tab w:val="clear" w:pos="2880"/>
        <w:tab w:val="clear" w:pos="3600"/>
        <w:tab w:val="clear" w:pos="4320"/>
        <w:tab w:val="clear" w:pos="5040"/>
      </w:tabs>
    </w:pPr>
    <w:rPr>
      <w:rFonts w:asciiTheme="minorHAnsi" w:eastAsiaTheme="minorHAnsi" w:hAnsiTheme="minorHAnsi" w:cstheme="minorBidi"/>
    </w:rPr>
  </w:style>
  <w:style w:type="character" w:customStyle="1" w:styleId="FootnoteTextChar">
    <w:name w:val="Footnote Text Char"/>
    <w:basedOn w:val="DefaultParagraphFont"/>
    <w:link w:val="FootnoteText"/>
    <w:rsid w:val="00E4271B"/>
    <w:rPr>
      <w:rFonts w:asciiTheme="minorHAnsi" w:eastAsiaTheme="minorHAnsi" w:hAnsiTheme="minorHAnsi" w:cstheme="minorBidi"/>
      <w:lang w:eastAsia="en-US"/>
    </w:rPr>
  </w:style>
  <w:style w:type="character" w:styleId="FootnoteReference">
    <w:name w:val="footnote reference"/>
    <w:basedOn w:val="DefaultParagraphFont"/>
    <w:unhideWhenUsed/>
    <w:rsid w:val="00E4271B"/>
    <w:rPr>
      <w:vertAlign w:val="superscript"/>
    </w:rPr>
  </w:style>
  <w:style w:type="paragraph" w:styleId="NormalWeb">
    <w:name w:val="Normal (Web)"/>
    <w:basedOn w:val="Normal"/>
    <w:uiPriority w:val="99"/>
    <w:unhideWhenUsed/>
    <w:rsid w:val="009F5916"/>
    <w:pPr>
      <w:tabs>
        <w:tab w:val="clear" w:pos="720"/>
        <w:tab w:val="clear" w:pos="1440"/>
        <w:tab w:val="clear" w:pos="2160"/>
        <w:tab w:val="clear" w:pos="2880"/>
        <w:tab w:val="clear" w:pos="3600"/>
        <w:tab w:val="clear" w:pos="4320"/>
        <w:tab w:val="clear" w:pos="5040"/>
      </w:tabs>
      <w:spacing w:before="100" w:beforeAutospacing="1" w:after="100" w:afterAutospacing="1"/>
    </w:pPr>
    <w:rPr>
      <w:rFonts w:ascii="Times New Roman" w:hAnsi="Times New Roman"/>
      <w:sz w:val="24"/>
      <w:szCs w:val="24"/>
      <w:lang w:eastAsia="en-GB"/>
    </w:rPr>
  </w:style>
  <w:style w:type="paragraph" w:styleId="BodyTextIndent2">
    <w:name w:val="Body Text Indent 2"/>
    <w:basedOn w:val="Normal"/>
    <w:link w:val="BodyTextIndent2Char"/>
    <w:unhideWhenUsed/>
    <w:rsid w:val="00CE4AFE"/>
    <w:pPr>
      <w:spacing w:after="120" w:line="480" w:lineRule="auto"/>
      <w:ind w:left="283"/>
    </w:pPr>
  </w:style>
  <w:style w:type="character" w:customStyle="1" w:styleId="BodyTextIndent2Char">
    <w:name w:val="Body Text Indent 2 Char"/>
    <w:basedOn w:val="DefaultParagraphFont"/>
    <w:link w:val="BodyTextIndent2"/>
    <w:rsid w:val="00CE4AFE"/>
    <w:rPr>
      <w:rFonts w:ascii="Arial" w:hAnsi="Arial"/>
      <w:lang w:eastAsia="en-US"/>
    </w:rPr>
  </w:style>
  <w:style w:type="paragraph" w:styleId="BodyTextIndent3">
    <w:name w:val="Body Text Indent 3"/>
    <w:basedOn w:val="Normal"/>
    <w:link w:val="BodyTextIndent3Char"/>
    <w:unhideWhenUsed/>
    <w:rsid w:val="00CE4AFE"/>
    <w:pPr>
      <w:spacing w:after="120"/>
      <w:ind w:left="283"/>
    </w:pPr>
    <w:rPr>
      <w:sz w:val="16"/>
      <w:szCs w:val="16"/>
    </w:rPr>
  </w:style>
  <w:style w:type="character" w:customStyle="1" w:styleId="BodyTextIndent3Char">
    <w:name w:val="Body Text Indent 3 Char"/>
    <w:basedOn w:val="DefaultParagraphFont"/>
    <w:link w:val="BodyTextIndent3"/>
    <w:rsid w:val="00CE4AFE"/>
    <w:rPr>
      <w:rFonts w:ascii="Arial" w:hAnsi="Arial"/>
      <w:sz w:val="16"/>
      <w:szCs w:val="16"/>
      <w:lang w:eastAsia="en-US"/>
    </w:rPr>
  </w:style>
  <w:style w:type="paragraph" w:styleId="BlockText">
    <w:name w:val="Block Text"/>
    <w:basedOn w:val="Normal"/>
    <w:rsid w:val="00BC2AB5"/>
    <w:pPr>
      <w:tabs>
        <w:tab w:val="clear" w:pos="720"/>
        <w:tab w:val="clear" w:pos="1440"/>
        <w:tab w:val="clear" w:pos="2880"/>
        <w:tab w:val="clear" w:pos="5040"/>
        <w:tab w:val="left" w:pos="180"/>
      </w:tabs>
      <w:ind w:left="720" w:right="386" w:hanging="720"/>
      <w:jc w:val="both"/>
    </w:pPr>
    <w:rPr>
      <w:rFonts w:cs="Arial"/>
      <w:b/>
      <w:bCs/>
      <w:sz w:val="24"/>
      <w:u w:val="single"/>
    </w:rPr>
  </w:style>
  <w:style w:type="paragraph" w:styleId="BodyText2">
    <w:name w:val="Body Text 2"/>
    <w:basedOn w:val="Normal"/>
    <w:link w:val="BodyText2Char"/>
    <w:rsid w:val="003241E4"/>
    <w:pPr>
      <w:tabs>
        <w:tab w:val="clear" w:pos="720"/>
        <w:tab w:val="clear" w:pos="1440"/>
        <w:tab w:val="clear" w:pos="2160"/>
        <w:tab w:val="clear" w:pos="2880"/>
        <w:tab w:val="clear" w:pos="3600"/>
        <w:tab w:val="clear" w:pos="4320"/>
        <w:tab w:val="clear" w:pos="5040"/>
      </w:tabs>
      <w:spacing w:after="120" w:line="480" w:lineRule="auto"/>
    </w:pPr>
    <w:rPr>
      <w:rFonts w:ascii="Times New Roman" w:hAnsi="Times New Roman"/>
    </w:rPr>
  </w:style>
  <w:style w:type="character" w:customStyle="1" w:styleId="BodyText2Char">
    <w:name w:val="Body Text 2 Char"/>
    <w:basedOn w:val="DefaultParagraphFont"/>
    <w:link w:val="BodyText2"/>
    <w:rsid w:val="003241E4"/>
    <w:rPr>
      <w:rFonts w:ascii="Times New Roman" w:hAnsi="Times New Roman"/>
      <w:lang w:eastAsia="en-US"/>
    </w:rPr>
  </w:style>
  <w:style w:type="paragraph" w:styleId="Subtitle">
    <w:name w:val="Subtitle"/>
    <w:basedOn w:val="ListParagraph"/>
    <w:next w:val="Normal"/>
    <w:link w:val="SubtitleChar"/>
    <w:qFormat/>
    <w:rsid w:val="00ED2CFB"/>
    <w:pPr>
      <w:numPr>
        <w:numId w:val="1"/>
      </w:numPr>
      <w:tabs>
        <w:tab w:val="left" w:pos="709"/>
      </w:tabs>
      <w:spacing w:after="120"/>
    </w:pPr>
    <w:rPr>
      <w:rFonts w:ascii="Arial" w:hAnsi="Arial" w:cs="Arial"/>
      <w:b/>
      <w:sz w:val="28"/>
      <w:szCs w:val="28"/>
    </w:rPr>
  </w:style>
  <w:style w:type="character" w:customStyle="1" w:styleId="SubtitleChar">
    <w:name w:val="Subtitle Char"/>
    <w:basedOn w:val="DefaultParagraphFont"/>
    <w:link w:val="Subtitle"/>
    <w:rsid w:val="00ED2CFB"/>
    <w:rPr>
      <w:rFonts w:ascii="Arial" w:hAnsi="Arial" w:cs="Arial"/>
      <w:b/>
      <w:sz w:val="28"/>
      <w:szCs w:val="28"/>
      <w:lang w:eastAsia="en-US"/>
    </w:rPr>
  </w:style>
  <w:style w:type="character" w:customStyle="1" w:styleId="Heading3Char">
    <w:name w:val="Heading 3 Char"/>
    <w:basedOn w:val="DefaultParagraphFont"/>
    <w:link w:val="Heading3"/>
    <w:semiHidden/>
    <w:rsid w:val="00375382"/>
    <w:rPr>
      <w:rFonts w:asciiTheme="majorHAnsi" w:eastAsiaTheme="majorEastAsia" w:hAnsiTheme="majorHAnsi" w:cstheme="majorBidi"/>
      <w:b/>
      <w:bCs/>
      <w:color w:val="4F81BD" w:themeColor="accent1"/>
      <w:lang w:eastAsia="en-US"/>
    </w:rPr>
  </w:style>
  <w:style w:type="paragraph" w:customStyle="1" w:styleId="ChapterHeading">
    <w:name w:val="Chapter Heading"/>
    <w:basedOn w:val="Normal"/>
    <w:uiPriority w:val="99"/>
    <w:semiHidden/>
    <w:rsid w:val="00375382"/>
    <w:pPr>
      <w:pageBreakBefore/>
      <w:numPr>
        <w:numId w:val="2"/>
      </w:numPr>
      <w:tabs>
        <w:tab w:val="clear" w:pos="720"/>
        <w:tab w:val="clear" w:pos="1440"/>
        <w:tab w:val="clear" w:pos="2160"/>
        <w:tab w:val="clear" w:pos="2880"/>
        <w:tab w:val="clear" w:pos="3600"/>
        <w:tab w:val="clear" w:pos="4320"/>
        <w:tab w:val="clear" w:pos="5040"/>
      </w:tabs>
      <w:spacing w:before="120" w:after="120"/>
      <w:jc w:val="both"/>
    </w:pPr>
    <w:rPr>
      <w:rFonts w:ascii="Calibri" w:hAnsi="Calibri" w:cs="Arial"/>
      <w:b/>
      <w:noProof/>
      <w:spacing w:val="-5"/>
      <w:sz w:val="36"/>
      <w:szCs w:val="36"/>
    </w:rPr>
  </w:style>
  <w:style w:type="paragraph" w:customStyle="1" w:styleId="Subheading">
    <w:name w:val="Subheading"/>
    <w:basedOn w:val="BodyText"/>
    <w:uiPriority w:val="99"/>
    <w:semiHidden/>
    <w:rsid w:val="00375382"/>
    <w:pPr>
      <w:numPr>
        <w:ilvl w:val="1"/>
        <w:numId w:val="2"/>
      </w:numPr>
      <w:tabs>
        <w:tab w:val="clear" w:pos="720"/>
        <w:tab w:val="clear" w:pos="1440"/>
        <w:tab w:val="clear" w:pos="2160"/>
        <w:tab w:val="clear" w:pos="2880"/>
        <w:tab w:val="clear" w:pos="3600"/>
        <w:tab w:val="clear" w:pos="4320"/>
        <w:tab w:val="clear" w:pos="5040"/>
      </w:tabs>
      <w:spacing w:before="270" w:after="180"/>
      <w:jc w:val="both"/>
    </w:pPr>
    <w:rPr>
      <w:rFonts w:cs="Arial"/>
      <w:b/>
      <w:noProof/>
      <w:sz w:val="22"/>
      <w:szCs w:val="22"/>
    </w:rPr>
  </w:style>
  <w:style w:type="paragraph" w:customStyle="1" w:styleId="subhead">
    <w:name w:val="subhead"/>
    <w:basedOn w:val="Subheading"/>
    <w:link w:val="subheadChar"/>
    <w:uiPriority w:val="99"/>
    <w:rsid w:val="00375382"/>
  </w:style>
  <w:style w:type="character" w:customStyle="1" w:styleId="subheadChar">
    <w:name w:val="subhead Char"/>
    <w:link w:val="subhead"/>
    <w:uiPriority w:val="99"/>
    <w:locked/>
    <w:rsid w:val="00375382"/>
    <w:rPr>
      <w:rFonts w:ascii="Arial" w:hAnsi="Arial" w:cs="Arial"/>
      <w:b/>
      <w:noProof/>
      <w:sz w:val="22"/>
      <w:szCs w:val="22"/>
      <w:lang w:eastAsia="en-US"/>
    </w:rPr>
  </w:style>
  <w:style w:type="paragraph" w:customStyle="1" w:styleId="Body">
    <w:name w:val="Body"/>
    <w:uiPriority w:val="99"/>
    <w:rsid w:val="00264C6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Mainnumber">
    <w:name w:val="Main number"/>
    <w:basedOn w:val="Normal"/>
    <w:qFormat/>
    <w:rsid w:val="00FC3204"/>
    <w:pPr>
      <w:numPr>
        <w:numId w:val="3"/>
      </w:numPr>
      <w:tabs>
        <w:tab w:val="clear" w:pos="1440"/>
        <w:tab w:val="clear" w:pos="2160"/>
        <w:tab w:val="clear" w:pos="2880"/>
        <w:tab w:val="clear" w:pos="3600"/>
        <w:tab w:val="clear" w:pos="4320"/>
        <w:tab w:val="clear" w:pos="5040"/>
      </w:tabs>
      <w:spacing w:after="120"/>
    </w:pPr>
    <w:rPr>
      <w:rFonts w:cs="Arial"/>
      <w:b/>
      <w:bCs/>
      <w:sz w:val="24"/>
      <w:szCs w:val="24"/>
    </w:rPr>
  </w:style>
  <w:style w:type="paragraph" w:customStyle="1" w:styleId="Subnumber">
    <w:name w:val="Sub number"/>
    <w:basedOn w:val="Normal"/>
    <w:link w:val="SubnumberChar"/>
    <w:qFormat/>
    <w:rsid w:val="00FC3204"/>
    <w:pPr>
      <w:numPr>
        <w:ilvl w:val="1"/>
        <w:numId w:val="3"/>
      </w:numPr>
      <w:tabs>
        <w:tab w:val="clear" w:pos="1440"/>
        <w:tab w:val="clear" w:pos="2160"/>
        <w:tab w:val="clear" w:pos="2880"/>
        <w:tab w:val="clear" w:pos="3600"/>
        <w:tab w:val="clear" w:pos="4320"/>
        <w:tab w:val="clear" w:pos="5040"/>
      </w:tabs>
      <w:spacing w:after="120"/>
    </w:pPr>
    <w:rPr>
      <w:rFonts w:cs="Arial"/>
      <w:sz w:val="24"/>
      <w:szCs w:val="24"/>
    </w:rPr>
  </w:style>
  <w:style w:type="character" w:customStyle="1" w:styleId="SubnumberChar">
    <w:name w:val="Sub number Char"/>
    <w:basedOn w:val="DefaultParagraphFont"/>
    <w:link w:val="Subnumber"/>
    <w:rsid w:val="00FC3204"/>
    <w:rPr>
      <w:rFonts w:ascii="Arial" w:hAnsi="Arial" w:cs="Arial"/>
      <w:sz w:val="24"/>
      <w:szCs w:val="24"/>
      <w:lang w:eastAsia="en-US"/>
    </w:rPr>
  </w:style>
  <w:style w:type="paragraph" w:customStyle="1" w:styleId="CM8">
    <w:name w:val="CM8"/>
    <w:basedOn w:val="Default"/>
    <w:next w:val="Default"/>
    <w:rsid w:val="002679B5"/>
    <w:pPr>
      <w:spacing w:line="433" w:lineRule="atLeast"/>
    </w:pPr>
    <w:rPr>
      <w:rFonts w:cs="Times New Roman"/>
      <w:color w:val="auto"/>
    </w:rPr>
  </w:style>
  <w:style w:type="paragraph" w:customStyle="1" w:styleId="CM28">
    <w:name w:val="CM28"/>
    <w:basedOn w:val="Default"/>
    <w:next w:val="Default"/>
    <w:uiPriority w:val="99"/>
    <w:rsid w:val="002679B5"/>
    <w:rPr>
      <w:rFonts w:eastAsia="Calibri"/>
      <w:color w:val="auto"/>
      <w:lang w:eastAsia="en-US"/>
    </w:rPr>
  </w:style>
  <w:style w:type="paragraph" w:customStyle="1" w:styleId="CM46">
    <w:name w:val="CM46"/>
    <w:basedOn w:val="Default"/>
    <w:next w:val="Default"/>
    <w:uiPriority w:val="99"/>
    <w:rsid w:val="002679B5"/>
    <w:rPr>
      <w:rFonts w:eastAsia="Calibri"/>
      <w:color w:val="auto"/>
      <w:lang w:eastAsia="en-US"/>
    </w:rPr>
  </w:style>
  <w:style w:type="paragraph" w:customStyle="1" w:styleId="CM21">
    <w:name w:val="CM21"/>
    <w:basedOn w:val="Default"/>
    <w:next w:val="Default"/>
    <w:uiPriority w:val="99"/>
    <w:rsid w:val="002679B5"/>
    <w:pPr>
      <w:spacing w:line="233" w:lineRule="atLeast"/>
    </w:pPr>
    <w:rPr>
      <w:rFonts w:eastAsia="Calibri"/>
      <w:color w:val="auto"/>
      <w:lang w:eastAsia="en-US"/>
    </w:rPr>
  </w:style>
  <w:style w:type="paragraph" w:customStyle="1" w:styleId="CM43">
    <w:name w:val="CM43"/>
    <w:basedOn w:val="Default"/>
    <w:next w:val="Default"/>
    <w:uiPriority w:val="99"/>
    <w:rsid w:val="002679B5"/>
    <w:rPr>
      <w:rFonts w:eastAsia="Calibri"/>
      <w:color w:val="auto"/>
      <w:lang w:eastAsia="en-US"/>
    </w:rPr>
  </w:style>
  <w:style w:type="paragraph" w:customStyle="1" w:styleId="CM38">
    <w:name w:val="CM38"/>
    <w:basedOn w:val="Default"/>
    <w:next w:val="Default"/>
    <w:uiPriority w:val="99"/>
    <w:rsid w:val="002679B5"/>
    <w:pPr>
      <w:spacing w:line="458" w:lineRule="atLeast"/>
    </w:pPr>
    <w:rPr>
      <w:rFonts w:eastAsia="Calibri"/>
      <w:color w:val="auto"/>
      <w:lang w:eastAsia="en-US"/>
    </w:rPr>
  </w:style>
  <w:style w:type="paragraph" w:customStyle="1" w:styleId="CM62">
    <w:name w:val="CM62"/>
    <w:basedOn w:val="Normal"/>
    <w:next w:val="Normal"/>
    <w:uiPriority w:val="99"/>
    <w:rsid w:val="002679B5"/>
    <w:pPr>
      <w:tabs>
        <w:tab w:val="clear" w:pos="720"/>
        <w:tab w:val="clear" w:pos="1440"/>
        <w:tab w:val="clear" w:pos="2160"/>
        <w:tab w:val="clear" w:pos="2880"/>
        <w:tab w:val="clear" w:pos="3600"/>
        <w:tab w:val="clear" w:pos="4320"/>
        <w:tab w:val="clear" w:pos="5040"/>
      </w:tabs>
      <w:autoSpaceDE w:val="0"/>
      <w:autoSpaceDN w:val="0"/>
      <w:adjustRightInd w:val="0"/>
    </w:pPr>
    <w:rPr>
      <w:rFonts w:ascii="Helvetica 45 Light" w:eastAsiaTheme="minorHAnsi" w:hAnsi="Helvetica 45 Light" w:cstheme="minorBidi"/>
      <w:sz w:val="24"/>
      <w:szCs w:val="24"/>
    </w:rPr>
  </w:style>
  <w:style w:type="character" w:customStyle="1" w:styleId="st1">
    <w:name w:val="st1"/>
    <w:basedOn w:val="DefaultParagraphFont"/>
    <w:rsid w:val="002679B5"/>
  </w:style>
  <w:style w:type="paragraph" w:customStyle="1" w:styleId="Pa11">
    <w:name w:val="Pa11"/>
    <w:basedOn w:val="Default"/>
    <w:next w:val="Default"/>
    <w:uiPriority w:val="99"/>
    <w:rsid w:val="002679B5"/>
    <w:pPr>
      <w:spacing w:line="221" w:lineRule="atLeast"/>
    </w:pPr>
    <w:rPr>
      <w:rFonts w:ascii="Helvetica 55 Roman" w:eastAsiaTheme="minorHAnsi" w:hAnsi="Helvetica 55 Roman" w:cstheme="minorBidi"/>
      <w:color w:val="auto"/>
      <w:lang w:eastAsia="en-US"/>
    </w:rPr>
  </w:style>
  <w:style w:type="paragraph" w:customStyle="1" w:styleId="Pa12">
    <w:name w:val="Pa12"/>
    <w:basedOn w:val="Default"/>
    <w:next w:val="Default"/>
    <w:uiPriority w:val="99"/>
    <w:rsid w:val="002679B5"/>
    <w:pPr>
      <w:spacing w:line="201" w:lineRule="atLeast"/>
    </w:pPr>
    <w:rPr>
      <w:rFonts w:ascii="Helvetica 55 Roman" w:eastAsiaTheme="minorHAnsi" w:hAnsi="Helvetica 55 Roman" w:cstheme="minorBidi"/>
      <w:color w:val="auto"/>
      <w:lang w:eastAsia="en-US"/>
    </w:rPr>
  </w:style>
  <w:style w:type="paragraph" w:customStyle="1" w:styleId="Pa13">
    <w:name w:val="Pa13"/>
    <w:basedOn w:val="Default"/>
    <w:next w:val="Default"/>
    <w:uiPriority w:val="99"/>
    <w:rsid w:val="002679B5"/>
    <w:pPr>
      <w:spacing w:line="201" w:lineRule="atLeast"/>
    </w:pPr>
    <w:rPr>
      <w:rFonts w:ascii="Helvetica 55 Roman" w:eastAsiaTheme="minorHAnsi" w:hAnsi="Helvetica 55 Roman" w:cstheme="minorBidi"/>
      <w:color w:val="auto"/>
      <w:lang w:eastAsia="en-US"/>
    </w:rPr>
  </w:style>
  <w:style w:type="paragraph" w:customStyle="1" w:styleId="yiv3963226381msolistparagraph">
    <w:name w:val="yiv3963226381msolistparagraph"/>
    <w:basedOn w:val="Normal"/>
    <w:rsid w:val="00AF46B5"/>
    <w:pPr>
      <w:tabs>
        <w:tab w:val="clear" w:pos="720"/>
        <w:tab w:val="clear" w:pos="1440"/>
        <w:tab w:val="clear" w:pos="2160"/>
        <w:tab w:val="clear" w:pos="2880"/>
        <w:tab w:val="clear" w:pos="3600"/>
        <w:tab w:val="clear" w:pos="4320"/>
        <w:tab w:val="clear" w:pos="5040"/>
      </w:tabs>
      <w:spacing w:before="100" w:beforeAutospacing="1" w:after="100" w:afterAutospacing="1"/>
    </w:pPr>
    <w:rPr>
      <w:rFonts w:ascii="Times New Roman" w:hAnsi="Times New Roman"/>
      <w:sz w:val="24"/>
      <w:szCs w:val="24"/>
      <w:lang w:eastAsia="en-GB"/>
    </w:rPr>
  </w:style>
  <w:style w:type="paragraph" w:customStyle="1" w:styleId="font0">
    <w:name w:val="font0"/>
    <w:basedOn w:val="Normal"/>
    <w:uiPriority w:val="99"/>
    <w:rsid w:val="00D94E13"/>
    <w:pPr>
      <w:tabs>
        <w:tab w:val="clear" w:pos="720"/>
        <w:tab w:val="clear" w:pos="1440"/>
        <w:tab w:val="clear" w:pos="2160"/>
        <w:tab w:val="clear" w:pos="2880"/>
        <w:tab w:val="clear" w:pos="3600"/>
        <w:tab w:val="clear" w:pos="4320"/>
        <w:tab w:val="clear" w:pos="5040"/>
      </w:tabs>
      <w:spacing w:before="100" w:after="100"/>
    </w:pPr>
    <w:rPr>
      <w:rFonts w:eastAsia="Arial Unicode MS" w:cs="Arial"/>
    </w:rPr>
  </w:style>
  <w:style w:type="character" w:styleId="Emphasis">
    <w:name w:val="Emphasis"/>
    <w:basedOn w:val="DefaultParagraphFont"/>
    <w:uiPriority w:val="20"/>
    <w:qFormat/>
    <w:rsid w:val="00D94E13"/>
    <w:rPr>
      <w:b/>
      <w:bCs/>
      <w:i w:val="0"/>
      <w:iCs w:val="0"/>
    </w:rPr>
  </w:style>
  <w:style w:type="character" w:customStyle="1" w:styleId="Heading1Char">
    <w:name w:val="Heading 1 Char"/>
    <w:basedOn w:val="DefaultParagraphFont"/>
    <w:link w:val="Heading1"/>
    <w:rsid w:val="008A7BFA"/>
    <w:rPr>
      <w:rFonts w:asciiTheme="majorHAnsi" w:eastAsiaTheme="majorEastAsia" w:hAnsiTheme="majorHAnsi" w:cstheme="majorBidi"/>
      <w:b/>
      <w:bCs/>
      <w:sz w:val="28"/>
      <w:szCs w:val="28"/>
      <w:lang w:eastAsia="en-US"/>
    </w:rPr>
  </w:style>
  <w:style w:type="character" w:styleId="CommentReference">
    <w:name w:val="annotation reference"/>
    <w:basedOn w:val="DefaultParagraphFont"/>
    <w:rsid w:val="008A7BFA"/>
    <w:rPr>
      <w:sz w:val="16"/>
      <w:szCs w:val="16"/>
    </w:rPr>
  </w:style>
  <w:style w:type="paragraph" w:styleId="CommentText">
    <w:name w:val="annotation text"/>
    <w:basedOn w:val="Normal"/>
    <w:link w:val="CommentTextChar"/>
    <w:rsid w:val="008A7BFA"/>
    <w:pPr>
      <w:numPr>
        <w:ilvl w:val="1"/>
      </w:numPr>
      <w:tabs>
        <w:tab w:val="clear" w:pos="2880"/>
        <w:tab w:val="clear" w:pos="3600"/>
        <w:tab w:val="clear" w:pos="4320"/>
        <w:tab w:val="clear" w:pos="5040"/>
      </w:tabs>
      <w:spacing w:line="276" w:lineRule="auto"/>
      <w:contextualSpacing/>
    </w:pPr>
  </w:style>
  <w:style w:type="character" w:customStyle="1" w:styleId="CommentTextChar">
    <w:name w:val="Comment Text Char"/>
    <w:basedOn w:val="DefaultParagraphFont"/>
    <w:link w:val="CommentText"/>
    <w:rsid w:val="008A7BFA"/>
    <w:rPr>
      <w:rFonts w:ascii="Arial" w:hAnsi="Arial"/>
      <w:lang w:eastAsia="en-US"/>
    </w:rPr>
  </w:style>
  <w:style w:type="paragraph" w:customStyle="1" w:styleId="EYBodytextwithparaspace">
    <w:name w:val="EY Body text (with para space)"/>
    <w:basedOn w:val="Normal"/>
    <w:link w:val="EYBodytextwithparaspaceChar"/>
    <w:rsid w:val="008A7BFA"/>
    <w:pPr>
      <w:tabs>
        <w:tab w:val="clear" w:pos="720"/>
        <w:tab w:val="clear" w:pos="1440"/>
        <w:tab w:val="clear" w:pos="2160"/>
        <w:tab w:val="clear" w:pos="2880"/>
        <w:tab w:val="clear" w:pos="3600"/>
        <w:tab w:val="clear" w:pos="4320"/>
        <w:tab w:val="clear" w:pos="5040"/>
      </w:tabs>
      <w:suppressAutoHyphens/>
      <w:spacing w:after="240"/>
    </w:pPr>
    <w:rPr>
      <w:rFonts w:cs="Arial"/>
      <w:kern w:val="12"/>
      <w:szCs w:val="24"/>
    </w:rPr>
  </w:style>
  <w:style w:type="character" w:customStyle="1" w:styleId="EYBodytextwithparaspaceChar">
    <w:name w:val="EY Body text (with para space) Char"/>
    <w:basedOn w:val="DefaultParagraphFont"/>
    <w:link w:val="EYBodytextwithparaspace"/>
    <w:rsid w:val="008A7BFA"/>
    <w:rPr>
      <w:rFonts w:ascii="Arial" w:hAnsi="Arial" w:cs="Arial"/>
      <w:kern w:val="12"/>
      <w:szCs w:val="24"/>
      <w:lang w:eastAsia="en-US"/>
    </w:rPr>
  </w:style>
  <w:style w:type="paragraph" w:customStyle="1" w:styleId="EYNumber">
    <w:name w:val="EY Number"/>
    <w:basedOn w:val="Normal"/>
    <w:rsid w:val="008A7BFA"/>
    <w:pPr>
      <w:numPr>
        <w:numId w:val="5"/>
      </w:numPr>
      <w:tabs>
        <w:tab w:val="clear" w:pos="720"/>
        <w:tab w:val="clear" w:pos="1440"/>
        <w:tab w:val="clear" w:pos="2160"/>
        <w:tab w:val="clear" w:pos="2880"/>
        <w:tab w:val="clear" w:pos="3600"/>
        <w:tab w:val="clear" w:pos="4320"/>
        <w:tab w:val="clear" w:pos="5040"/>
      </w:tabs>
      <w:suppressAutoHyphens/>
      <w:spacing w:after="240"/>
    </w:pPr>
    <w:rPr>
      <w:rFonts w:cs="Arial"/>
      <w:kern w:val="12"/>
      <w:szCs w:val="24"/>
    </w:rPr>
  </w:style>
  <w:style w:type="paragraph" w:customStyle="1" w:styleId="EYLetter">
    <w:name w:val="EY Letter"/>
    <w:basedOn w:val="EYNumber"/>
    <w:rsid w:val="008A7BFA"/>
    <w:pPr>
      <w:numPr>
        <w:ilvl w:val="1"/>
      </w:numPr>
    </w:pPr>
  </w:style>
  <w:style w:type="table" w:customStyle="1" w:styleId="TableFormat-Standard">
    <w:name w:val="Table Format - Standard"/>
    <w:basedOn w:val="TableNormal"/>
    <w:rsid w:val="008A7BFA"/>
    <w:rPr>
      <w:rFonts w:ascii="Arial" w:hAnsi="Arial"/>
      <w:lang w:val="nl-NL" w:eastAsia="nl-NL"/>
    </w:rPr>
    <w:tblPr>
      <w:tblBorders>
        <w:bottom w:val="single" w:sz="8" w:space="0" w:color="4F81BD" w:themeColor="accent1"/>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EYHeading2">
    <w:name w:val="EY Heading 2"/>
    <w:basedOn w:val="Normal"/>
    <w:next w:val="EYBodytextwithparaspace"/>
    <w:link w:val="EYHeading2Char"/>
    <w:rsid w:val="008A7BFA"/>
    <w:pPr>
      <w:keepNext/>
      <w:tabs>
        <w:tab w:val="clear" w:pos="720"/>
        <w:tab w:val="clear" w:pos="1440"/>
        <w:tab w:val="clear" w:pos="2160"/>
        <w:tab w:val="clear" w:pos="2880"/>
        <w:tab w:val="clear" w:pos="3600"/>
        <w:tab w:val="clear" w:pos="4320"/>
        <w:tab w:val="clear" w:pos="5040"/>
      </w:tabs>
      <w:suppressAutoHyphens/>
      <w:spacing w:before="120" w:after="120"/>
    </w:pPr>
    <w:rPr>
      <w:rFonts w:cs="Arial"/>
      <w:b/>
      <w:kern w:val="12"/>
      <w:sz w:val="22"/>
      <w:szCs w:val="24"/>
    </w:rPr>
  </w:style>
  <w:style w:type="paragraph" w:customStyle="1" w:styleId="EYBulletedtext1">
    <w:name w:val="EY Bulleted text 1"/>
    <w:basedOn w:val="EYBodytextwithparaspace"/>
    <w:rsid w:val="008A7BFA"/>
    <w:pPr>
      <w:numPr>
        <w:numId w:val="6"/>
      </w:numPr>
      <w:tabs>
        <w:tab w:val="clear" w:pos="425"/>
      </w:tabs>
      <w:ind w:left="2190" w:hanging="360"/>
    </w:pPr>
  </w:style>
  <w:style w:type="paragraph" w:customStyle="1" w:styleId="EYBulletedtext2">
    <w:name w:val="EY Bulleted text 2"/>
    <w:basedOn w:val="EYBodytextwithparaspace"/>
    <w:rsid w:val="008A7BFA"/>
    <w:pPr>
      <w:numPr>
        <w:ilvl w:val="1"/>
        <w:numId w:val="6"/>
      </w:numPr>
      <w:tabs>
        <w:tab w:val="clear" w:pos="851"/>
      </w:tabs>
      <w:ind w:left="2910" w:hanging="360"/>
    </w:pPr>
  </w:style>
  <w:style w:type="character" w:customStyle="1" w:styleId="EYHeading2Char">
    <w:name w:val="EY Heading 2 Char"/>
    <w:basedOn w:val="DefaultParagraphFont"/>
    <w:link w:val="EYHeading2"/>
    <w:rsid w:val="008A7BFA"/>
    <w:rPr>
      <w:rFonts w:ascii="Arial" w:hAnsi="Arial" w:cs="Arial"/>
      <w:b/>
      <w:kern w:val="12"/>
      <w:sz w:val="22"/>
      <w:szCs w:val="24"/>
      <w:lang w:eastAsia="en-US"/>
    </w:rPr>
  </w:style>
  <w:style w:type="paragraph" w:customStyle="1" w:styleId="EYBulletedtext3">
    <w:name w:val="EY Bulleted text 3"/>
    <w:basedOn w:val="EYBulletedtext1"/>
    <w:qFormat/>
    <w:rsid w:val="008A7BFA"/>
    <w:pPr>
      <w:numPr>
        <w:ilvl w:val="2"/>
      </w:numPr>
      <w:tabs>
        <w:tab w:val="clear" w:pos="1276"/>
      </w:tabs>
      <w:ind w:left="3630" w:hanging="360"/>
    </w:pPr>
    <w:rPr>
      <w:rFonts w:cs="Times New Roman"/>
    </w:rPr>
  </w:style>
  <w:style w:type="paragraph" w:styleId="CommentSubject">
    <w:name w:val="annotation subject"/>
    <w:basedOn w:val="CommentText"/>
    <w:next w:val="CommentText"/>
    <w:link w:val="CommentSubjectChar"/>
    <w:rsid w:val="008A7BFA"/>
    <w:pPr>
      <w:numPr>
        <w:ilvl w:val="0"/>
      </w:numPr>
      <w:tabs>
        <w:tab w:val="clear" w:pos="720"/>
        <w:tab w:val="clear" w:pos="1440"/>
        <w:tab w:val="clear" w:pos="2160"/>
        <w:tab w:val="left" w:pos="709"/>
      </w:tabs>
      <w:spacing w:after="120" w:line="240" w:lineRule="auto"/>
      <w:ind w:left="709" w:hanging="709"/>
    </w:pPr>
    <w:rPr>
      <w:rFonts w:cs="Arial"/>
      <w:b/>
      <w:bCs/>
    </w:rPr>
  </w:style>
  <w:style w:type="character" w:customStyle="1" w:styleId="CommentSubjectChar">
    <w:name w:val="Comment Subject Char"/>
    <w:basedOn w:val="CommentTextChar"/>
    <w:link w:val="CommentSubject"/>
    <w:rsid w:val="008A7BFA"/>
    <w:rPr>
      <w:rFonts w:ascii="Arial" w:hAnsi="Arial" w:cs="Arial"/>
      <w:b/>
      <w:bCs/>
      <w:lang w:eastAsia="en-US"/>
    </w:rPr>
  </w:style>
  <w:style w:type="character" w:styleId="HTMLDefinition">
    <w:name w:val="HTML Definition"/>
    <w:basedOn w:val="DefaultParagraphFont"/>
    <w:uiPriority w:val="99"/>
    <w:unhideWhenUsed/>
    <w:rsid w:val="00C0527E"/>
    <w:rPr>
      <w:i/>
      <w:iCs/>
    </w:rPr>
  </w:style>
  <w:style w:type="table" w:customStyle="1" w:styleId="TableGrid1">
    <w:name w:val="Table Grid1"/>
    <w:basedOn w:val="TableNormal"/>
    <w:next w:val="TableGrid"/>
    <w:uiPriority w:val="59"/>
    <w:rsid w:val="00BC4D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2721"/>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2B49"/>
    <w:rPr>
      <w:rFonts w:asciiTheme="minorHAnsi" w:eastAsiaTheme="minorHAnsi" w:hAnsiTheme="minorHAnsi" w:cstheme="minorBidi"/>
      <w:sz w:val="22"/>
      <w:szCs w:val="22"/>
      <w:lang w:eastAsia="en-US"/>
    </w:rPr>
  </w:style>
  <w:style w:type="table" w:customStyle="1" w:styleId="GridTable4-Accent51">
    <w:name w:val="Grid Table 4 - Accent 51"/>
    <w:basedOn w:val="TableNormal"/>
    <w:uiPriority w:val="49"/>
    <w:rsid w:val="005F39DD"/>
    <w:rPr>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Paragraph">
    <w:name w:val="Table Paragraph"/>
    <w:basedOn w:val="Normal"/>
    <w:uiPriority w:val="1"/>
    <w:qFormat/>
    <w:rsid w:val="006A6BF2"/>
    <w:pPr>
      <w:widowControl w:val="0"/>
      <w:tabs>
        <w:tab w:val="clear" w:pos="720"/>
        <w:tab w:val="clear" w:pos="1440"/>
        <w:tab w:val="clear" w:pos="2160"/>
        <w:tab w:val="clear" w:pos="2880"/>
        <w:tab w:val="clear" w:pos="3600"/>
        <w:tab w:val="clear" w:pos="4320"/>
        <w:tab w:val="clear" w:pos="5040"/>
      </w:tabs>
      <w:autoSpaceDE w:val="0"/>
      <w:autoSpaceDN w:val="0"/>
      <w:adjustRightInd w:val="0"/>
    </w:pPr>
    <w:rPr>
      <w:rFonts w:ascii="Times New Roman" w:eastAsiaTheme="minorEastAsia" w:hAnsi="Times New Roman"/>
      <w:sz w:val="24"/>
      <w:szCs w:val="24"/>
      <w:lang w:eastAsia="en-GB"/>
    </w:rPr>
  </w:style>
  <w:style w:type="paragraph" w:customStyle="1" w:styleId="CM26">
    <w:name w:val="CM26"/>
    <w:basedOn w:val="Normal"/>
    <w:next w:val="Normal"/>
    <w:rsid w:val="002B1765"/>
    <w:pPr>
      <w:tabs>
        <w:tab w:val="clear" w:pos="720"/>
        <w:tab w:val="clear" w:pos="1440"/>
        <w:tab w:val="clear" w:pos="2160"/>
        <w:tab w:val="clear" w:pos="2880"/>
        <w:tab w:val="clear" w:pos="3600"/>
        <w:tab w:val="clear" w:pos="4320"/>
        <w:tab w:val="clear" w:pos="5040"/>
      </w:tabs>
      <w:autoSpaceDE w:val="0"/>
      <w:autoSpaceDN w:val="0"/>
      <w:adjustRightInd w:val="0"/>
    </w:pPr>
    <w:rPr>
      <w:sz w:val="24"/>
      <w:szCs w:val="24"/>
      <w:lang w:eastAsia="en-GB"/>
    </w:rPr>
  </w:style>
  <w:style w:type="table" w:customStyle="1" w:styleId="GridTable4Accent1">
    <w:name w:val="Grid Table 4 Accent 1"/>
    <w:basedOn w:val="TableNormal"/>
    <w:uiPriority w:val="49"/>
    <w:rsid w:val="00807D77"/>
    <w:rPr>
      <w:rFonts w:ascii="Times New Roman" w:hAnsi="Times New Roman"/>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TableNormal"/>
    <w:next w:val="TableGrid"/>
    <w:uiPriority w:val="99"/>
    <w:rsid w:val="004055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03FB"/>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84FB5"/>
  </w:style>
  <w:style w:type="table" w:customStyle="1" w:styleId="TableGrid5">
    <w:name w:val="Table Grid5"/>
    <w:basedOn w:val="TableNormal"/>
    <w:next w:val="TableGrid"/>
    <w:uiPriority w:val="59"/>
    <w:rsid w:val="00084F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C0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748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ading">
    <w:name w:val="para heading"/>
    <w:basedOn w:val="Normal"/>
    <w:rsid w:val="002D08B1"/>
    <w:pPr>
      <w:tabs>
        <w:tab w:val="clear" w:pos="720"/>
        <w:tab w:val="clear" w:pos="1440"/>
        <w:tab w:val="clear" w:pos="2160"/>
        <w:tab w:val="clear" w:pos="2880"/>
        <w:tab w:val="clear" w:pos="3600"/>
        <w:tab w:val="clear" w:pos="4320"/>
        <w:tab w:val="clear" w:pos="5040"/>
        <w:tab w:val="num" w:pos="737"/>
      </w:tabs>
      <w:spacing w:after="120"/>
      <w:ind w:left="737" w:hanging="737"/>
    </w:pPr>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0B2"/>
    <w:pPr>
      <w:tabs>
        <w:tab w:val="left" w:pos="720"/>
        <w:tab w:val="left" w:pos="1440"/>
        <w:tab w:val="left" w:pos="2160"/>
        <w:tab w:val="left" w:pos="2880"/>
        <w:tab w:val="left" w:pos="3600"/>
        <w:tab w:val="left" w:pos="4320"/>
        <w:tab w:val="left" w:pos="5040"/>
      </w:tabs>
    </w:pPr>
    <w:rPr>
      <w:rFonts w:ascii="Arial" w:hAnsi="Arial"/>
      <w:lang w:eastAsia="en-US"/>
    </w:rPr>
  </w:style>
  <w:style w:type="paragraph" w:styleId="Heading1">
    <w:name w:val="heading 1"/>
    <w:basedOn w:val="Normal"/>
    <w:next w:val="Normal"/>
    <w:link w:val="Heading1Char"/>
    <w:qFormat/>
    <w:rsid w:val="008A7BFA"/>
    <w:pPr>
      <w:keepNext/>
      <w:keepLines/>
      <w:numPr>
        <w:ilvl w:val="1"/>
        <w:numId w:val="4"/>
      </w:numPr>
      <w:tabs>
        <w:tab w:val="clear" w:pos="720"/>
        <w:tab w:val="clear" w:pos="1440"/>
        <w:tab w:val="clear" w:pos="2160"/>
        <w:tab w:val="clear" w:pos="2880"/>
        <w:tab w:val="clear" w:pos="3600"/>
        <w:tab w:val="clear" w:pos="4320"/>
        <w:tab w:val="clear" w:pos="5040"/>
        <w:tab w:val="left" w:pos="709"/>
      </w:tabs>
      <w:spacing w:after="120" w:line="276" w:lineRule="auto"/>
      <w:ind w:left="709" w:hanging="709"/>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1B022D"/>
    <w:pPr>
      <w:keepNext/>
      <w:tabs>
        <w:tab w:val="clear" w:pos="5040"/>
      </w:tabs>
      <w:spacing w:before="60" w:after="60"/>
      <w:ind w:left="1440" w:right="-514" w:hanging="1440"/>
      <w:jc w:val="center"/>
      <w:outlineLvl w:val="1"/>
    </w:pPr>
    <w:rPr>
      <w:rFonts w:cs="Arial"/>
      <w:b/>
    </w:rPr>
  </w:style>
  <w:style w:type="paragraph" w:styleId="Heading3">
    <w:name w:val="heading 3"/>
    <w:basedOn w:val="Normal"/>
    <w:next w:val="Normal"/>
    <w:link w:val="Heading3Char"/>
    <w:semiHidden/>
    <w:unhideWhenUsed/>
    <w:qFormat/>
    <w:rsid w:val="003753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B022D"/>
    <w:pPr>
      <w:keepNext/>
      <w:tabs>
        <w:tab w:val="clear" w:pos="5040"/>
      </w:tabs>
      <w:ind w:left="1440" w:right="-514" w:hanging="1440"/>
      <w:outlineLvl w:val="3"/>
    </w:pPr>
    <w:rPr>
      <w:rFonts w:cs="Arial"/>
      <w:b/>
      <w:bCs/>
    </w:rPr>
  </w:style>
  <w:style w:type="paragraph" w:styleId="Heading6">
    <w:name w:val="heading 6"/>
    <w:basedOn w:val="Normal"/>
    <w:next w:val="Normal"/>
    <w:link w:val="Heading6Char"/>
    <w:qFormat/>
    <w:rsid w:val="001B022D"/>
    <w:pPr>
      <w:keepNext/>
      <w:tabs>
        <w:tab w:val="clear" w:pos="720"/>
        <w:tab w:val="clear" w:pos="1440"/>
        <w:tab w:val="clear" w:pos="2160"/>
        <w:tab w:val="clear" w:pos="2880"/>
        <w:tab w:val="clear" w:pos="3600"/>
        <w:tab w:val="clear" w:pos="4320"/>
        <w:tab w:val="clear" w:pos="5040"/>
      </w:tabs>
      <w:spacing w:before="40" w:after="40"/>
      <w:ind w:firstLine="12"/>
      <w:jc w:val="center"/>
      <w:outlineLvl w:val="5"/>
    </w:pPr>
    <w:rPr>
      <w:rFonts w:cs="Arial"/>
      <w:b/>
    </w:rPr>
  </w:style>
  <w:style w:type="paragraph" w:styleId="Heading7">
    <w:name w:val="heading 7"/>
    <w:basedOn w:val="Normal"/>
    <w:next w:val="Normal"/>
    <w:link w:val="Heading7Char"/>
    <w:qFormat/>
    <w:rsid w:val="001B022D"/>
    <w:pPr>
      <w:keepNext/>
      <w:tabs>
        <w:tab w:val="clear" w:pos="720"/>
        <w:tab w:val="clear" w:pos="1440"/>
        <w:tab w:val="clear" w:pos="2160"/>
        <w:tab w:val="clear" w:pos="2880"/>
        <w:tab w:val="clear" w:pos="3600"/>
        <w:tab w:val="clear" w:pos="4320"/>
        <w:tab w:val="clear" w:pos="5040"/>
      </w:tabs>
      <w:spacing w:before="60" w:after="60"/>
      <w:ind w:left="-18" w:right="-18" w:hanging="18"/>
      <w:jc w:val="center"/>
      <w:outlineLvl w:val="6"/>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pPr>
      <w:tabs>
        <w:tab w:val="clear" w:pos="720"/>
        <w:tab w:val="clear" w:pos="1440"/>
        <w:tab w:val="clear" w:pos="2160"/>
        <w:tab w:val="clear" w:pos="2880"/>
        <w:tab w:val="clear" w:pos="3600"/>
        <w:tab w:val="clear" w:pos="4320"/>
        <w:tab w:val="clear" w:pos="5040"/>
      </w:tabs>
    </w:pPr>
  </w:style>
  <w:style w:type="paragraph" w:styleId="Header">
    <w:name w:val="header"/>
    <w:basedOn w:val="Normal"/>
    <w:link w:val="HeaderChar"/>
    <w:pPr>
      <w:tabs>
        <w:tab w:val="clear" w:pos="720"/>
        <w:tab w:val="clear" w:pos="1440"/>
        <w:tab w:val="clear" w:pos="2160"/>
        <w:tab w:val="clear" w:pos="2880"/>
        <w:tab w:val="clear" w:pos="3600"/>
        <w:tab w:val="clear" w:pos="4320"/>
        <w:tab w:val="clear" w:pos="5040"/>
        <w:tab w:val="center" w:pos="4153"/>
        <w:tab w:val="right" w:pos="8306"/>
      </w:tabs>
    </w:pPr>
  </w:style>
  <w:style w:type="paragraph" w:styleId="Footer">
    <w:name w:val="footer"/>
    <w:basedOn w:val="Normal"/>
    <w:link w:val="FooterChar"/>
    <w:uiPriority w:val="99"/>
    <w:pPr>
      <w:tabs>
        <w:tab w:val="clear" w:pos="720"/>
        <w:tab w:val="clear" w:pos="1440"/>
        <w:tab w:val="clear" w:pos="2160"/>
        <w:tab w:val="clear" w:pos="2880"/>
        <w:tab w:val="clear" w:pos="3600"/>
        <w:tab w:val="clear" w:pos="4320"/>
        <w:tab w:val="clear" w:pos="5040"/>
        <w:tab w:val="center" w:pos="4153"/>
        <w:tab w:val="right" w:pos="8306"/>
      </w:tabs>
    </w:pPr>
  </w:style>
  <w:style w:type="character" w:styleId="Hyperlink">
    <w:name w:val="Hyperlink"/>
    <w:rsid w:val="00467AF1"/>
    <w:rPr>
      <w:color w:val="0000FF"/>
      <w:u w:val="single"/>
    </w:rPr>
  </w:style>
  <w:style w:type="character" w:styleId="Strong">
    <w:name w:val="Strong"/>
    <w:uiPriority w:val="22"/>
    <w:qFormat/>
    <w:rsid w:val="00F26110"/>
    <w:rPr>
      <w:b/>
      <w:bCs/>
    </w:rPr>
  </w:style>
  <w:style w:type="paragraph" w:styleId="BalloonText">
    <w:name w:val="Balloon Text"/>
    <w:basedOn w:val="Normal"/>
    <w:link w:val="BalloonTextChar"/>
    <w:rsid w:val="003E68EA"/>
    <w:rPr>
      <w:rFonts w:ascii="Tahoma" w:hAnsi="Tahoma" w:cs="Tahoma"/>
      <w:sz w:val="16"/>
      <w:szCs w:val="16"/>
    </w:rPr>
  </w:style>
  <w:style w:type="character" w:customStyle="1" w:styleId="BalloonTextChar">
    <w:name w:val="Balloon Text Char"/>
    <w:basedOn w:val="DefaultParagraphFont"/>
    <w:link w:val="BalloonText"/>
    <w:rsid w:val="003E68EA"/>
    <w:rPr>
      <w:rFonts w:ascii="Tahoma" w:hAnsi="Tahoma" w:cs="Tahoma"/>
      <w:sz w:val="16"/>
      <w:szCs w:val="16"/>
      <w:lang w:eastAsia="en-US"/>
    </w:rPr>
  </w:style>
  <w:style w:type="character" w:customStyle="1" w:styleId="Heading2Char">
    <w:name w:val="Heading 2 Char"/>
    <w:basedOn w:val="DefaultParagraphFont"/>
    <w:link w:val="Heading2"/>
    <w:rsid w:val="001B022D"/>
    <w:rPr>
      <w:rFonts w:ascii="Arial" w:hAnsi="Arial" w:cs="Arial"/>
      <w:b/>
      <w:lang w:eastAsia="en-US"/>
    </w:rPr>
  </w:style>
  <w:style w:type="character" w:customStyle="1" w:styleId="Heading4Char">
    <w:name w:val="Heading 4 Char"/>
    <w:basedOn w:val="DefaultParagraphFont"/>
    <w:link w:val="Heading4"/>
    <w:rsid w:val="001B022D"/>
    <w:rPr>
      <w:rFonts w:ascii="Arial" w:hAnsi="Arial" w:cs="Arial"/>
      <w:b/>
      <w:bCs/>
      <w:lang w:eastAsia="en-US"/>
    </w:rPr>
  </w:style>
  <w:style w:type="character" w:customStyle="1" w:styleId="Heading6Char">
    <w:name w:val="Heading 6 Char"/>
    <w:basedOn w:val="DefaultParagraphFont"/>
    <w:link w:val="Heading6"/>
    <w:rsid w:val="001B022D"/>
    <w:rPr>
      <w:rFonts w:ascii="Arial" w:hAnsi="Arial" w:cs="Arial"/>
      <w:b/>
      <w:lang w:eastAsia="en-US"/>
    </w:rPr>
  </w:style>
  <w:style w:type="character" w:customStyle="1" w:styleId="Heading7Char">
    <w:name w:val="Heading 7 Char"/>
    <w:basedOn w:val="DefaultParagraphFont"/>
    <w:link w:val="Heading7"/>
    <w:rsid w:val="001B022D"/>
    <w:rPr>
      <w:rFonts w:ascii="Arial" w:hAnsi="Arial" w:cs="Arial"/>
      <w:b/>
      <w:lang w:eastAsia="en-US"/>
    </w:rPr>
  </w:style>
  <w:style w:type="character" w:customStyle="1" w:styleId="HeaderChar">
    <w:name w:val="Header Char"/>
    <w:basedOn w:val="DefaultParagraphFont"/>
    <w:link w:val="Header"/>
    <w:rsid w:val="001B022D"/>
    <w:rPr>
      <w:rFonts w:ascii="Arial" w:hAnsi="Arial"/>
      <w:lang w:eastAsia="en-US"/>
    </w:rPr>
  </w:style>
  <w:style w:type="character" w:customStyle="1" w:styleId="FooterChar">
    <w:name w:val="Footer Char"/>
    <w:basedOn w:val="DefaultParagraphFont"/>
    <w:link w:val="Footer"/>
    <w:uiPriority w:val="99"/>
    <w:rsid w:val="001B022D"/>
    <w:rPr>
      <w:rFonts w:ascii="Arial" w:hAnsi="Arial"/>
      <w:lang w:eastAsia="en-US"/>
    </w:rPr>
  </w:style>
  <w:style w:type="paragraph" w:customStyle="1" w:styleId="BodyAgenda">
    <w:name w:val="BodyAgenda"/>
    <w:basedOn w:val="Normal"/>
    <w:rsid w:val="001B022D"/>
    <w:pPr>
      <w:tabs>
        <w:tab w:val="decimal" w:pos="360"/>
        <w:tab w:val="left" w:pos="5760"/>
        <w:tab w:val="left" w:pos="6480"/>
        <w:tab w:val="left" w:pos="7200"/>
        <w:tab w:val="left" w:pos="7920"/>
        <w:tab w:val="left" w:pos="8640"/>
      </w:tabs>
      <w:spacing w:before="240"/>
      <w:ind w:left="720" w:hanging="720"/>
    </w:pPr>
    <w:rPr>
      <w:rFonts w:ascii="Helv" w:hAnsi="Helv"/>
    </w:rPr>
  </w:style>
  <w:style w:type="paragraph" w:styleId="BodyText3">
    <w:name w:val="Body Text 3"/>
    <w:basedOn w:val="Normal"/>
    <w:link w:val="BodyText3Char"/>
    <w:rsid w:val="001B022D"/>
    <w:rPr>
      <w:rFonts w:ascii="Bookman Old Style" w:hAnsi="Bookman Old Style"/>
      <w:b/>
      <w:bCs/>
    </w:rPr>
  </w:style>
  <w:style w:type="character" w:customStyle="1" w:styleId="BodyText3Char">
    <w:name w:val="Body Text 3 Char"/>
    <w:basedOn w:val="DefaultParagraphFont"/>
    <w:link w:val="BodyText3"/>
    <w:rsid w:val="001B022D"/>
    <w:rPr>
      <w:rFonts w:ascii="Bookman Old Style" w:hAnsi="Bookman Old Style"/>
      <w:b/>
      <w:bCs/>
      <w:lang w:eastAsia="en-US"/>
    </w:rPr>
  </w:style>
  <w:style w:type="paragraph" w:styleId="ListParagraph">
    <w:name w:val="List Paragraph"/>
    <w:basedOn w:val="Normal"/>
    <w:link w:val="ListParagraphChar"/>
    <w:uiPriority w:val="34"/>
    <w:qFormat/>
    <w:rsid w:val="001B022D"/>
    <w:pPr>
      <w:tabs>
        <w:tab w:val="clear" w:pos="720"/>
        <w:tab w:val="clear" w:pos="1440"/>
        <w:tab w:val="clear" w:pos="2160"/>
        <w:tab w:val="clear" w:pos="2880"/>
        <w:tab w:val="clear" w:pos="3600"/>
        <w:tab w:val="clear" w:pos="4320"/>
        <w:tab w:val="clear" w:pos="5040"/>
      </w:tabs>
      <w:spacing w:after="200" w:line="276" w:lineRule="auto"/>
      <w:ind w:left="720"/>
      <w:contextualSpacing/>
    </w:pPr>
    <w:rPr>
      <w:rFonts w:ascii="Calibri" w:hAnsi="Calibri"/>
      <w:sz w:val="22"/>
      <w:szCs w:val="22"/>
    </w:rPr>
  </w:style>
  <w:style w:type="paragraph" w:styleId="Title">
    <w:name w:val="Title"/>
    <w:basedOn w:val="Normal"/>
    <w:link w:val="TitleChar"/>
    <w:qFormat/>
    <w:rsid w:val="001B022D"/>
    <w:pPr>
      <w:jc w:val="center"/>
    </w:pPr>
    <w:rPr>
      <w:u w:val="single"/>
    </w:rPr>
  </w:style>
  <w:style w:type="character" w:customStyle="1" w:styleId="TitleChar">
    <w:name w:val="Title Char"/>
    <w:basedOn w:val="DefaultParagraphFont"/>
    <w:link w:val="Title"/>
    <w:rsid w:val="001B022D"/>
    <w:rPr>
      <w:rFonts w:ascii="Arial" w:hAnsi="Arial"/>
      <w:u w:val="single"/>
      <w:lang w:eastAsia="en-US"/>
    </w:rPr>
  </w:style>
  <w:style w:type="character" w:customStyle="1" w:styleId="ListParagraphChar">
    <w:name w:val="List Paragraph Char"/>
    <w:link w:val="ListParagraph"/>
    <w:uiPriority w:val="34"/>
    <w:locked/>
    <w:rsid w:val="001B022D"/>
    <w:rPr>
      <w:rFonts w:ascii="Calibri" w:hAnsi="Calibri"/>
      <w:sz w:val="22"/>
      <w:szCs w:val="22"/>
      <w:lang w:eastAsia="en-US"/>
    </w:rPr>
  </w:style>
  <w:style w:type="paragraph" w:customStyle="1" w:styleId="Default">
    <w:name w:val="Default"/>
    <w:uiPriority w:val="99"/>
    <w:rsid w:val="001B022D"/>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1B022D"/>
    <w:pPr>
      <w:spacing w:after="120"/>
      <w:ind w:left="283"/>
    </w:pPr>
  </w:style>
  <w:style w:type="character" w:customStyle="1" w:styleId="BodyTextIndentChar">
    <w:name w:val="Body Text Indent Char"/>
    <w:basedOn w:val="DefaultParagraphFont"/>
    <w:link w:val="BodyTextIndent"/>
    <w:rsid w:val="001B022D"/>
    <w:rPr>
      <w:rFonts w:ascii="Arial" w:hAnsi="Arial"/>
      <w:lang w:eastAsia="en-US"/>
    </w:rPr>
  </w:style>
  <w:style w:type="paragraph" w:styleId="BodyText">
    <w:name w:val="Body Text"/>
    <w:basedOn w:val="Normal"/>
    <w:link w:val="BodyTextChar"/>
    <w:uiPriority w:val="1"/>
    <w:qFormat/>
    <w:rsid w:val="001B022D"/>
    <w:pPr>
      <w:spacing w:after="120"/>
    </w:pPr>
  </w:style>
  <w:style w:type="character" w:customStyle="1" w:styleId="BodyTextChar">
    <w:name w:val="Body Text Char"/>
    <w:basedOn w:val="DefaultParagraphFont"/>
    <w:link w:val="BodyText"/>
    <w:uiPriority w:val="1"/>
    <w:rsid w:val="001B022D"/>
    <w:rPr>
      <w:rFonts w:ascii="Arial" w:hAnsi="Arial"/>
      <w:lang w:eastAsia="en-US"/>
    </w:rPr>
  </w:style>
  <w:style w:type="table" w:styleId="TableGrid">
    <w:name w:val="Table Grid"/>
    <w:basedOn w:val="TableNormal"/>
    <w:rsid w:val="001B022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senrhsennumparatext">
    <w:name w:val="ends enrhs ennumparatext"/>
    <w:basedOn w:val="DefaultParagraphFont"/>
    <w:rsid w:val="00872B37"/>
  </w:style>
  <w:style w:type="paragraph" w:styleId="FootnoteText">
    <w:name w:val="footnote text"/>
    <w:basedOn w:val="Normal"/>
    <w:link w:val="FootnoteTextChar"/>
    <w:unhideWhenUsed/>
    <w:rsid w:val="00E4271B"/>
    <w:pPr>
      <w:tabs>
        <w:tab w:val="clear" w:pos="720"/>
        <w:tab w:val="clear" w:pos="1440"/>
        <w:tab w:val="clear" w:pos="2160"/>
        <w:tab w:val="clear" w:pos="2880"/>
        <w:tab w:val="clear" w:pos="3600"/>
        <w:tab w:val="clear" w:pos="4320"/>
        <w:tab w:val="clear" w:pos="5040"/>
      </w:tabs>
    </w:pPr>
    <w:rPr>
      <w:rFonts w:asciiTheme="minorHAnsi" w:eastAsiaTheme="minorHAnsi" w:hAnsiTheme="minorHAnsi" w:cstheme="minorBidi"/>
    </w:rPr>
  </w:style>
  <w:style w:type="character" w:customStyle="1" w:styleId="FootnoteTextChar">
    <w:name w:val="Footnote Text Char"/>
    <w:basedOn w:val="DefaultParagraphFont"/>
    <w:link w:val="FootnoteText"/>
    <w:rsid w:val="00E4271B"/>
    <w:rPr>
      <w:rFonts w:asciiTheme="minorHAnsi" w:eastAsiaTheme="minorHAnsi" w:hAnsiTheme="minorHAnsi" w:cstheme="minorBidi"/>
      <w:lang w:eastAsia="en-US"/>
    </w:rPr>
  </w:style>
  <w:style w:type="character" w:styleId="FootnoteReference">
    <w:name w:val="footnote reference"/>
    <w:basedOn w:val="DefaultParagraphFont"/>
    <w:unhideWhenUsed/>
    <w:rsid w:val="00E4271B"/>
    <w:rPr>
      <w:vertAlign w:val="superscript"/>
    </w:rPr>
  </w:style>
  <w:style w:type="paragraph" w:styleId="NormalWeb">
    <w:name w:val="Normal (Web)"/>
    <w:basedOn w:val="Normal"/>
    <w:uiPriority w:val="99"/>
    <w:unhideWhenUsed/>
    <w:rsid w:val="009F5916"/>
    <w:pPr>
      <w:tabs>
        <w:tab w:val="clear" w:pos="720"/>
        <w:tab w:val="clear" w:pos="1440"/>
        <w:tab w:val="clear" w:pos="2160"/>
        <w:tab w:val="clear" w:pos="2880"/>
        <w:tab w:val="clear" w:pos="3600"/>
        <w:tab w:val="clear" w:pos="4320"/>
        <w:tab w:val="clear" w:pos="5040"/>
      </w:tabs>
      <w:spacing w:before="100" w:beforeAutospacing="1" w:after="100" w:afterAutospacing="1"/>
    </w:pPr>
    <w:rPr>
      <w:rFonts w:ascii="Times New Roman" w:hAnsi="Times New Roman"/>
      <w:sz w:val="24"/>
      <w:szCs w:val="24"/>
      <w:lang w:eastAsia="en-GB"/>
    </w:rPr>
  </w:style>
  <w:style w:type="paragraph" w:styleId="BodyTextIndent2">
    <w:name w:val="Body Text Indent 2"/>
    <w:basedOn w:val="Normal"/>
    <w:link w:val="BodyTextIndent2Char"/>
    <w:unhideWhenUsed/>
    <w:rsid w:val="00CE4AFE"/>
    <w:pPr>
      <w:spacing w:after="120" w:line="480" w:lineRule="auto"/>
      <w:ind w:left="283"/>
    </w:pPr>
  </w:style>
  <w:style w:type="character" w:customStyle="1" w:styleId="BodyTextIndent2Char">
    <w:name w:val="Body Text Indent 2 Char"/>
    <w:basedOn w:val="DefaultParagraphFont"/>
    <w:link w:val="BodyTextIndent2"/>
    <w:rsid w:val="00CE4AFE"/>
    <w:rPr>
      <w:rFonts w:ascii="Arial" w:hAnsi="Arial"/>
      <w:lang w:eastAsia="en-US"/>
    </w:rPr>
  </w:style>
  <w:style w:type="paragraph" w:styleId="BodyTextIndent3">
    <w:name w:val="Body Text Indent 3"/>
    <w:basedOn w:val="Normal"/>
    <w:link w:val="BodyTextIndent3Char"/>
    <w:unhideWhenUsed/>
    <w:rsid w:val="00CE4AFE"/>
    <w:pPr>
      <w:spacing w:after="120"/>
      <w:ind w:left="283"/>
    </w:pPr>
    <w:rPr>
      <w:sz w:val="16"/>
      <w:szCs w:val="16"/>
    </w:rPr>
  </w:style>
  <w:style w:type="character" w:customStyle="1" w:styleId="BodyTextIndent3Char">
    <w:name w:val="Body Text Indent 3 Char"/>
    <w:basedOn w:val="DefaultParagraphFont"/>
    <w:link w:val="BodyTextIndent3"/>
    <w:rsid w:val="00CE4AFE"/>
    <w:rPr>
      <w:rFonts w:ascii="Arial" w:hAnsi="Arial"/>
      <w:sz w:val="16"/>
      <w:szCs w:val="16"/>
      <w:lang w:eastAsia="en-US"/>
    </w:rPr>
  </w:style>
  <w:style w:type="paragraph" w:styleId="BlockText">
    <w:name w:val="Block Text"/>
    <w:basedOn w:val="Normal"/>
    <w:rsid w:val="00BC2AB5"/>
    <w:pPr>
      <w:tabs>
        <w:tab w:val="clear" w:pos="720"/>
        <w:tab w:val="clear" w:pos="1440"/>
        <w:tab w:val="clear" w:pos="2880"/>
        <w:tab w:val="clear" w:pos="5040"/>
        <w:tab w:val="left" w:pos="180"/>
      </w:tabs>
      <w:ind w:left="720" w:right="386" w:hanging="720"/>
      <w:jc w:val="both"/>
    </w:pPr>
    <w:rPr>
      <w:rFonts w:cs="Arial"/>
      <w:b/>
      <w:bCs/>
      <w:sz w:val="24"/>
      <w:u w:val="single"/>
    </w:rPr>
  </w:style>
  <w:style w:type="paragraph" w:styleId="BodyText2">
    <w:name w:val="Body Text 2"/>
    <w:basedOn w:val="Normal"/>
    <w:link w:val="BodyText2Char"/>
    <w:rsid w:val="003241E4"/>
    <w:pPr>
      <w:tabs>
        <w:tab w:val="clear" w:pos="720"/>
        <w:tab w:val="clear" w:pos="1440"/>
        <w:tab w:val="clear" w:pos="2160"/>
        <w:tab w:val="clear" w:pos="2880"/>
        <w:tab w:val="clear" w:pos="3600"/>
        <w:tab w:val="clear" w:pos="4320"/>
        <w:tab w:val="clear" w:pos="5040"/>
      </w:tabs>
      <w:spacing w:after="120" w:line="480" w:lineRule="auto"/>
    </w:pPr>
    <w:rPr>
      <w:rFonts w:ascii="Times New Roman" w:hAnsi="Times New Roman"/>
    </w:rPr>
  </w:style>
  <w:style w:type="character" w:customStyle="1" w:styleId="BodyText2Char">
    <w:name w:val="Body Text 2 Char"/>
    <w:basedOn w:val="DefaultParagraphFont"/>
    <w:link w:val="BodyText2"/>
    <w:rsid w:val="003241E4"/>
    <w:rPr>
      <w:rFonts w:ascii="Times New Roman" w:hAnsi="Times New Roman"/>
      <w:lang w:eastAsia="en-US"/>
    </w:rPr>
  </w:style>
  <w:style w:type="paragraph" w:styleId="Subtitle">
    <w:name w:val="Subtitle"/>
    <w:basedOn w:val="ListParagraph"/>
    <w:next w:val="Normal"/>
    <w:link w:val="SubtitleChar"/>
    <w:qFormat/>
    <w:rsid w:val="00ED2CFB"/>
    <w:pPr>
      <w:numPr>
        <w:numId w:val="1"/>
      </w:numPr>
      <w:tabs>
        <w:tab w:val="left" w:pos="709"/>
      </w:tabs>
      <w:spacing w:after="120"/>
    </w:pPr>
    <w:rPr>
      <w:rFonts w:ascii="Arial" w:hAnsi="Arial" w:cs="Arial"/>
      <w:b/>
      <w:sz w:val="28"/>
      <w:szCs w:val="28"/>
    </w:rPr>
  </w:style>
  <w:style w:type="character" w:customStyle="1" w:styleId="SubtitleChar">
    <w:name w:val="Subtitle Char"/>
    <w:basedOn w:val="DefaultParagraphFont"/>
    <w:link w:val="Subtitle"/>
    <w:rsid w:val="00ED2CFB"/>
    <w:rPr>
      <w:rFonts w:ascii="Arial" w:hAnsi="Arial" w:cs="Arial"/>
      <w:b/>
      <w:sz w:val="28"/>
      <w:szCs w:val="28"/>
      <w:lang w:eastAsia="en-US"/>
    </w:rPr>
  </w:style>
  <w:style w:type="character" w:customStyle="1" w:styleId="Heading3Char">
    <w:name w:val="Heading 3 Char"/>
    <w:basedOn w:val="DefaultParagraphFont"/>
    <w:link w:val="Heading3"/>
    <w:semiHidden/>
    <w:rsid w:val="00375382"/>
    <w:rPr>
      <w:rFonts w:asciiTheme="majorHAnsi" w:eastAsiaTheme="majorEastAsia" w:hAnsiTheme="majorHAnsi" w:cstheme="majorBidi"/>
      <w:b/>
      <w:bCs/>
      <w:color w:val="4F81BD" w:themeColor="accent1"/>
      <w:lang w:eastAsia="en-US"/>
    </w:rPr>
  </w:style>
  <w:style w:type="paragraph" w:customStyle="1" w:styleId="ChapterHeading">
    <w:name w:val="Chapter Heading"/>
    <w:basedOn w:val="Normal"/>
    <w:uiPriority w:val="99"/>
    <w:semiHidden/>
    <w:rsid w:val="00375382"/>
    <w:pPr>
      <w:pageBreakBefore/>
      <w:numPr>
        <w:numId w:val="2"/>
      </w:numPr>
      <w:tabs>
        <w:tab w:val="clear" w:pos="720"/>
        <w:tab w:val="clear" w:pos="1440"/>
        <w:tab w:val="clear" w:pos="2160"/>
        <w:tab w:val="clear" w:pos="2880"/>
        <w:tab w:val="clear" w:pos="3600"/>
        <w:tab w:val="clear" w:pos="4320"/>
        <w:tab w:val="clear" w:pos="5040"/>
      </w:tabs>
      <w:spacing w:before="120" w:after="120"/>
      <w:jc w:val="both"/>
    </w:pPr>
    <w:rPr>
      <w:rFonts w:ascii="Calibri" w:hAnsi="Calibri" w:cs="Arial"/>
      <w:b/>
      <w:noProof/>
      <w:spacing w:val="-5"/>
      <w:sz w:val="36"/>
      <w:szCs w:val="36"/>
    </w:rPr>
  </w:style>
  <w:style w:type="paragraph" w:customStyle="1" w:styleId="Subheading">
    <w:name w:val="Subheading"/>
    <w:basedOn w:val="BodyText"/>
    <w:uiPriority w:val="99"/>
    <w:semiHidden/>
    <w:rsid w:val="00375382"/>
    <w:pPr>
      <w:numPr>
        <w:ilvl w:val="1"/>
        <w:numId w:val="2"/>
      </w:numPr>
      <w:tabs>
        <w:tab w:val="clear" w:pos="720"/>
        <w:tab w:val="clear" w:pos="1440"/>
        <w:tab w:val="clear" w:pos="2160"/>
        <w:tab w:val="clear" w:pos="2880"/>
        <w:tab w:val="clear" w:pos="3600"/>
        <w:tab w:val="clear" w:pos="4320"/>
        <w:tab w:val="clear" w:pos="5040"/>
      </w:tabs>
      <w:spacing w:before="270" w:after="180"/>
      <w:jc w:val="both"/>
    </w:pPr>
    <w:rPr>
      <w:rFonts w:cs="Arial"/>
      <w:b/>
      <w:noProof/>
      <w:sz w:val="22"/>
      <w:szCs w:val="22"/>
    </w:rPr>
  </w:style>
  <w:style w:type="paragraph" w:customStyle="1" w:styleId="subhead">
    <w:name w:val="subhead"/>
    <w:basedOn w:val="Subheading"/>
    <w:link w:val="subheadChar"/>
    <w:uiPriority w:val="99"/>
    <w:rsid w:val="00375382"/>
  </w:style>
  <w:style w:type="character" w:customStyle="1" w:styleId="subheadChar">
    <w:name w:val="subhead Char"/>
    <w:link w:val="subhead"/>
    <w:uiPriority w:val="99"/>
    <w:locked/>
    <w:rsid w:val="00375382"/>
    <w:rPr>
      <w:rFonts w:ascii="Arial" w:hAnsi="Arial" w:cs="Arial"/>
      <w:b/>
      <w:noProof/>
      <w:sz w:val="22"/>
      <w:szCs w:val="22"/>
      <w:lang w:eastAsia="en-US"/>
    </w:rPr>
  </w:style>
  <w:style w:type="paragraph" w:customStyle="1" w:styleId="Body">
    <w:name w:val="Body"/>
    <w:uiPriority w:val="99"/>
    <w:rsid w:val="00264C6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Mainnumber">
    <w:name w:val="Main number"/>
    <w:basedOn w:val="Normal"/>
    <w:qFormat/>
    <w:rsid w:val="00FC3204"/>
    <w:pPr>
      <w:numPr>
        <w:numId w:val="3"/>
      </w:numPr>
      <w:tabs>
        <w:tab w:val="clear" w:pos="1440"/>
        <w:tab w:val="clear" w:pos="2160"/>
        <w:tab w:val="clear" w:pos="2880"/>
        <w:tab w:val="clear" w:pos="3600"/>
        <w:tab w:val="clear" w:pos="4320"/>
        <w:tab w:val="clear" w:pos="5040"/>
      </w:tabs>
      <w:spacing w:after="120"/>
    </w:pPr>
    <w:rPr>
      <w:rFonts w:cs="Arial"/>
      <w:b/>
      <w:bCs/>
      <w:sz w:val="24"/>
      <w:szCs w:val="24"/>
    </w:rPr>
  </w:style>
  <w:style w:type="paragraph" w:customStyle="1" w:styleId="Subnumber">
    <w:name w:val="Sub number"/>
    <w:basedOn w:val="Normal"/>
    <w:link w:val="SubnumberChar"/>
    <w:qFormat/>
    <w:rsid w:val="00FC3204"/>
    <w:pPr>
      <w:numPr>
        <w:ilvl w:val="1"/>
        <w:numId w:val="3"/>
      </w:numPr>
      <w:tabs>
        <w:tab w:val="clear" w:pos="1440"/>
        <w:tab w:val="clear" w:pos="2160"/>
        <w:tab w:val="clear" w:pos="2880"/>
        <w:tab w:val="clear" w:pos="3600"/>
        <w:tab w:val="clear" w:pos="4320"/>
        <w:tab w:val="clear" w:pos="5040"/>
      </w:tabs>
      <w:spacing w:after="120"/>
    </w:pPr>
    <w:rPr>
      <w:rFonts w:cs="Arial"/>
      <w:sz w:val="24"/>
      <w:szCs w:val="24"/>
    </w:rPr>
  </w:style>
  <w:style w:type="character" w:customStyle="1" w:styleId="SubnumberChar">
    <w:name w:val="Sub number Char"/>
    <w:basedOn w:val="DefaultParagraphFont"/>
    <w:link w:val="Subnumber"/>
    <w:rsid w:val="00FC3204"/>
    <w:rPr>
      <w:rFonts w:ascii="Arial" w:hAnsi="Arial" w:cs="Arial"/>
      <w:sz w:val="24"/>
      <w:szCs w:val="24"/>
      <w:lang w:eastAsia="en-US"/>
    </w:rPr>
  </w:style>
  <w:style w:type="paragraph" w:customStyle="1" w:styleId="CM8">
    <w:name w:val="CM8"/>
    <w:basedOn w:val="Default"/>
    <w:next w:val="Default"/>
    <w:rsid w:val="002679B5"/>
    <w:pPr>
      <w:spacing w:line="433" w:lineRule="atLeast"/>
    </w:pPr>
    <w:rPr>
      <w:rFonts w:cs="Times New Roman"/>
      <w:color w:val="auto"/>
    </w:rPr>
  </w:style>
  <w:style w:type="paragraph" w:customStyle="1" w:styleId="CM28">
    <w:name w:val="CM28"/>
    <w:basedOn w:val="Default"/>
    <w:next w:val="Default"/>
    <w:uiPriority w:val="99"/>
    <w:rsid w:val="002679B5"/>
    <w:rPr>
      <w:rFonts w:eastAsia="Calibri"/>
      <w:color w:val="auto"/>
      <w:lang w:eastAsia="en-US"/>
    </w:rPr>
  </w:style>
  <w:style w:type="paragraph" w:customStyle="1" w:styleId="CM46">
    <w:name w:val="CM46"/>
    <w:basedOn w:val="Default"/>
    <w:next w:val="Default"/>
    <w:uiPriority w:val="99"/>
    <w:rsid w:val="002679B5"/>
    <w:rPr>
      <w:rFonts w:eastAsia="Calibri"/>
      <w:color w:val="auto"/>
      <w:lang w:eastAsia="en-US"/>
    </w:rPr>
  </w:style>
  <w:style w:type="paragraph" w:customStyle="1" w:styleId="CM21">
    <w:name w:val="CM21"/>
    <w:basedOn w:val="Default"/>
    <w:next w:val="Default"/>
    <w:uiPriority w:val="99"/>
    <w:rsid w:val="002679B5"/>
    <w:pPr>
      <w:spacing w:line="233" w:lineRule="atLeast"/>
    </w:pPr>
    <w:rPr>
      <w:rFonts w:eastAsia="Calibri"/>
      <w:color w:val="auto"/>
      <w:lang w:eastAsia="en-US"/>
    </w:rPr>
  </w:style>
  <w:style w:type="paragraph" w:customStyle="1" w:styleId="CM43">
    <w:name w:val="CM43"/>
    <w:basedOn w:val="Default"/>
    <w:next w:val="Default"/>
    <w:uiPriority w:val="99"/>
    <w:rsid w:val="002679B5"/>
    <w:rPr>
      <w:rFonts w:eastAsia="Calibri"/>
      <w:color w:val="auto"/>
      <w:lang w:eastAsia="en-US"/>
    </w:rPr>
  </w:style>
  <w:style w:type="paragraph" w:customStyle="1" w:styleId="CM38">
    <w:name w:val="CM38"/>
    <w:basedOn w:val="Default"/>
    <w:next w:val="Default"/>
    <w:uiPriority w:val="99"/>
    <w:rsid w:val="002679B5"/>
    <w:pPr>
      <w:spacing w:line="458" w:lineRule="atLeast"/>
    </w:pPr>
    <w:rPr>
      <w:rFonts w:eastAsia="Calibri"/>
      <w:color w:val="auto"/>
      <w:lang w:eastAsia="en-US"/>
    </w:rPr>
  </w:style>
  <w:style w:type="paragraph" w:customStyle="1" w:styleId="CM62">
    <w:name w:val="CM62"/>
    <w:basedOn w:val="Normal"/>
    <w:next w:val="Normal"/>
    <w:uiPriority w:val="99"/>
    <w:rsid w:val="002679B5"/>
    <w:pPr>
      <w:tabs>
        <w:tab w:val="clear" w:pos="720"/>
        <w:tab w:val="clear" w:pos="1440"/>
        <w:tab w:val="clear" w:pos="2160"/>
        <w:tab w:val="clear" w:pos="2880"/>
        <w:tab w:val="clear" w:pos="3600"/>
        <w:tab w:val="clear" w:pos="4320"/>
        <w:tab w:val="clear" w:pos="5040"/>
      </w:tabs>
      <w:autoSpaceDE w:val="0"/>
      <w:autoSpaceDN w:val="0"/>
      <w:adjustRightInd w:val="0"/>
    </w:pPr>
    <w:rPr>
      <w:rFonts w:ascii="Helvetica 45 Light" w:eastAsiaTheme="minorHAnsi" w:hAnsi="Helvetica 45 Light" w:cstheme="minorBidi"/>
      <w:sz w:val="24"/>
      <w:szCs w:val="24"/>
    </w:rPr>
  </w:style>
  <w:style w:type="character" w:customStyle="1" w:styleId="st1">
    <w:name w:val="st1"/>
    <w:basedOn w:val="DefaultParagraphFont"/>
    <w:rsid w:val="002679B5"/>
  </w:style>
  <w:style w:type="paragraph" w:customStyle="1" w:styleId="Pa11">
    <w:name w:val="Pa11"/>
    <w:basedOn w:val="Default"/>
    <w:next w:val="Default"/>
    <w:uiPriority w:val="99"/>
    <w:rsid w:val="002679B5"/>
    <w:pPr>
      <w:spacing w:line="221" w:lineRule="atLeast"/>
    </w:pPr>
    <w:rPr>
      <w:rFonts w:ascii="Helvetica 55 Roman" w:eastAsiaTheme="minorHAnsi" w:hAnsi="Helvetica 55 Roman" w:cstheme="minorBidi"/>
      <w:color w:val="auto"/>
      <w:lang w:eastAsia="en-US"/>
    </w:rPr>
  </w:style>
  <w:style w:type="paragraph" w:customStyle="1" w:styleId="Pa12">
    <w:name w:val="Pa12"/>
    <w:basedOn w:val="Default"/>
    <w:next w:val="Default"/>
    <w:uiPriority w:val="99"/>
    <w:rsid w:val="002679B5"/>
    <w:pPr>
      <w:spacing w:line="201" w:lineRule="atLeast"/>
    </w:pPr>
    <w:rPr>
      <w:rFonts w:ascii="Helvetica 55 Roman" w:eastAsiaTheme="minorHAnsi" w:hAnsi="Helvetica 55 Roman" w:cstheme="minorBidi"/>
      <w:color w:val="auto"/>
      <w:lang w:eastAsia="en-US"/>
    </w:rPr>
  </w:style>
  <w:style w:type="paragraph" w:customStyle="1" w:styleId="Pa13">
    <w:name w:val="Pa13"/>
    <w:basedOn w:val="Default"/>
    <w:next w:val="Default"/>
    <w:uiPriority w:val="99"/>
    <w:rsid w:val="002679B5"/>
    <w:pPr>
      <w:spacing w:line="201" w:lineRule="atLeast"/>
    </w:pPr>
    <w:rPr>
      <w:rFonts w:ascii="Helvetica 55 Roman" w:eastAsiaTheme="minorHAnsi" w:hAnsi="Helvetica 55 Roman" w:cstheme="minorBidi"/>
      <w:color w:val="auto"/>
      <w:lang w:eastAsia="en-US"/>
    </w:rPr>
  </w:style>
  <w:style w:type="paragraph" w:customStyle="1" w:styleId="yiv3963226381msolistparagraph">
    <w:name w:val="yiv3963226381msolistparagraph"/>
    <w:basedOn w:val="Normal"/>
    <w:rsid w:val="00AF46B5"/>
    <w:pPr>
      <w:tabs>
        <w:tab w:val="clear" w:pos="720"/>
        <w:tab w:val="clear" w:pos="1440"/>
        <w:tab w:val="clear" w:pos="2160"/>
        <w:tab w:val="clear" w:pos="2880"/>
        <w:tab w:val="clear" w:pos="3600"/>
        <w:tab w:val="clear" w:pos="4320"/>
        <w:tab w:val="clear" w:pos="5040"/>
      </w:tabs>
      <w:spacing w:before="100" w:beforeAutospacing="1" w:after="100" w:afterAutospacing="1"/>
    </w:pPr>
    <w:rPr>
      <w:rFonts w:ascii="Times New Roman" w:hAnsi="Times New Roman"/>
      <w:sz w:val="24"/>
      <w:szCs w:val="24"/>
      <w:lang w:eastAsia="en-GB"/>
    </w:rPr>
  </w:style>
  <w:style w:type="paragraph" w:customStyle="1" w:styleId="font0">
    <w:name w:val="font0"/>
    <w:basedOn w:val="Normal"/>
    <w:uiPriority w:val="99"/>
    <w:rsid w:val="00D94E13"/>
    <w:pPr>
      <w:tabs>
        <w:tab w:val="clear" w:pos="720"/>
        <w:tab w:val="clear" w:pos="1440"/>
        <w:tab w:val="clear" w:pos="2160"/>
        <w:tab w:val="clear" w:pos="2880"/>
        <w:tab w:val="clear" w:pos="3600"/>
        <w:tab w:val="clear" w:pos="4320"/>
        <w:tab w:val="clear" w:pos="5040"/>
      </w:tabs>
      <w:spacing w:before="100" w:after="100"/>
    </w:pPr>
    <w:rPr>
      <w:rFonts w:eastAsia="Arial Unicode MS" w:cs="Arial"/>
    </w:rPr>
  </w:style>
  <w:style w:type="character" w:styleId="Emphasis">
    <w:name w:val="Emphasis"/>
    <w:basedOn w:val="DefaultParagraphFont"/>
    <w:uiPriority w:val="20"/>
    <w:qFormat/>
    <w:rsid w:val="00D94E13"/>
    <w:rPr>
      <w:b/>
      <w:bCs/>
      <w:i w:val="0"/>
      <w:iCs w:val="0"/>
    </w:rPr>
  </w:style>
  <w:style w:type="character" w:customStyle="1" w:styleId="Heading1Char">
    <w:name w:val="Heading 1 Char"/>
    <w:basedOn w:val="DefaultParagraphFont"/>
    <w:link w:val="Heading1"/>
    <w:rsid w:val="008A7BFA"/>
    <w:rPr>
      <w:rFonts w:asciiTheme="majorHAnsi" w:eastAsiaTheme="majorEastAsia" w:hAnsiTheme="majorHAnsi" w:cstheme="majorBidi"/>
      <w:b/>
      <w:bCs/>
      <w:sz w:val="28"/>
      <w:szCs w:val="28"/>
      <w:lang w:eastAsia="en-US"/>
    </w:rPr>
  </w:style>
  <w:style w:type="character" w:styleId="CommentReference">
    <w:name w:val="annotation reference"/>
    <w:basedOn w:val="DefaultParagraphFont"/>
    <w:rsid w:val="008A7BFA"/>
    <w:rPr>
      <w:sz w:val="16"/>
      <w:szCs w:val="16"/>
    </w:rPr>
  </w:style>
  <w:style w:type="paragraph" w:styleId="CommentText">
    <w:name w:val="annotation text"/>
    <w:basedOn w:val="Normal"/>
    <w:link w:val="CommentTextChar"/>
    <w:rsid w:val="008A7BFA"/>
    <w:pPr>
      <w:numPr>
        <w:ilvl w:val="1"/>
      </w:numPr>
      <w:tabs>
        <w:tab w:val="clear" w:pos="2880"/>
        <w:tab w:val="clear" w:pos="3600"/>
        <w:tab w:val="clear" w:pos="4320"/>
        <w:tab w:val="clear" w:pos="5040"/>
      </w:tabs>
      <w:spacing w:line="276" w:lineRule="auto"/>
      <w:contextualSpacing/>
    </w:pPr>
  </w:style>
  <w:style w:type="character" w:customStyle="1" w:styleId="CommentTextChar">
    <w:name w:val="Comment Text Char"/>
    <w:basedOn w:val="DefaultParagraphFont"/>
    <w:link w:val="CommentText"/>
    <w:rsid w:val="008A7BFA"/>
    <w:rPr>
      <w:rFonts w:ascii="Arial" w:hAnsi="Arial"/>
      <w:lang w:eastAsia="en-US"/>
    </w:rPr>
  </w:style>
  <w:style w:type="paragraph" w:customStyle="1" w:styleId="EYBodytextwithparaspace">
    <w:name w:val="EY Body text (with para space)"/>
    <w:basedOn w:val="Normal"/>
    <w:link w:val="EYBodytextwithparaspaceChar"/>
    <w:rsid w:val="008A7BFA"/>
    <w:pPr>
      <w:tabs>
        <w:tab w:val="clear" w:pos="720"/>
        <w:tab w:val="clear" w:pos="1440"/>
        <w:tab w:val="clear" w:pos="2160"/>
        <w:tab w:val="clear" w:pos="2880"/>
        <w:tab w:val="clear" w:pos="3600"/>
        <w:tab w:val="clear" w:pos="4320"/>
        <w:tab w:val="clear" w:pos="5040"/>
      </w:tabs>
      <w:suppressAutoHyphens/>
      <w:spacing w:after="240"/>
    </w:pPr>
    <w:rPr>
      <w:rFonts w:cs="Arial"/>
      <w:kern w:val="12"/>
      <w:szCs w:val="24"/>
    </w:rPr>
  </w:style>
  <w:style w:type="character" w:customStyle="1" w:styleId="EYBodytextwithparaspaceChar">
    <w:name w:val="EY Body text (with para space) Char"/>
    <w:basedOn w:val="DefaultParagraphFont"/>
    <w:link w:val="EYBodytextwithparaspace"/>
    <w:rsid w:val="008A7BFA"/>
    <w:rPr>
      <w:rFonts w:ascii="Arial" w:hAnsi="Arial" w:cs="Arial"/>
      <w:kern w:val="12"/>
      <w:szCs w:val="24"/>
      <w:lang w:eastAsia="en-US"/>
    </w:rPr>
  </w:style>
  <w:style w:type="paragraph" w:customStyle="1" w:styleId="EYNumber">
    <w:name w:val="EY Number"/>
    <w:basedOn w:val="Normal"/>
    <w:rsid w:val="008A7BFA"/>
    <w:pPr>
      <w:numPr>
        <w:numId w:val="5"/>
      </w:numPr>
      <w:tabs>
        <w:tab w:val="clear" w:pos="720"/>
        <w:tab w:val="clear" w:pos="1440"/>
        <w:tab w:val="clear" w:pos="2160"/>
        <w:tab w:val="clear" w:pos="2880"/>
        <w:tab w:val="clear" w:pos="3600"/>
        <w:tab w:val="clear" w:pos="4320"/>
        <w:tab w:val="clear" w:pos="5040"/>
      </w:tabs>
      <w:suppressAutoHyphens/>
      <w:spacing w:after="240"/>
    </w:pPr>
    <w:rPr>
      <w:rFonts w:cs="Arial"/>
      <w:kern w:val="12"/>
      <w:szCs w:val="24"/>
    </w:rPr>
  </w:style>
  <w:style w:type="paragraph" w:customStyle="1" w:styleId="EYLetter">
    <w:name w:val="EY Letter"/>
    <w:basedOn w:val="EYNumber"/>
    <w:rsid w:val="008A7BFA"/>
    <w:pPr>
      <w:numPr>
        <w:ilvl w:val="1"/>
      </w:numPr>
    </w:pPr>
  </w:style>
  <w:style w:type="table" w:customStyle="1" w:styleId="TableFormat-Standard">
    <w:name w:val="Table Format - Standard"/>
    <w:basedOn w:val="TableNormal"/>
    <w:rsid w:val="008A7BFA"/>
    <w:rPr>
      <w:rFonts w:ascii="Arial" w:hAnsi="Arial"/>
      <w:lang w:val="nl-NL" w:eastAsia="nl-NL"/>
    </w:rPr>
    <w:tblPr>
      <w:tblBorders>
        <w:bottom w:val="single" w:sz="8" w:space="0" w:color="4F81BD" w:themeColor="accent1"/>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EYHeading2">
    <w:name w:val="EY Heading 2"/>
    <w:basedOn w:val="Normal"/>
    <w:next w:val="EYBodytextwithparaspace"/>
    <w:link w:val="EYHeading2Char"/>
    <w:rsid w:val="008A7BFA"/>
    <w:pPr>
      <w:keepNext/>
      <w:tabs>
        <w:tab w:val="clear" w:pos="720"/>
        <w:tab w:val="clear" w:pos="1440"/>
        <w:tab w:val="clear" w:pos="2160"/>
        <w:tab w:val="clear" w:pos="2880"/>
        <w:tab w:val="clear" w:pos="3600"/>
        <w:tab w:val="clear" w:pos="4320"/>
        <w:tab w:val="clear" w:pos="5040"/>
      </w:tabs>
      <w:suppressAutoHyphens/>
      <w:spacing w:before="120" w:after="120"/>
    </w:pPr>
    <w:rPr>
      <w:rFonts w:cs="Arial"/>
      <w:b/>
      <w:kern w:val="12"/>
      <w:sz w:val="22"/>
      <w:szCs w:val="24"/>
    </w:rPr>
  </w:style>
  <w:style w:type="paragraph" w:customStyle="1" w:styleId="EYBulletedtext1">
    <w:name w:val="EY Bulleted text 1"/>
    <w:basedOn w:val="EYBodytextwithparaspace"/>
    <w:rsid w:val="008A7BFA"/>
    <w:pPr>
      <w:numPr>
        <w:numId w:val="6"/>
      </w:numPr>
      <w:tabs>
        <w:tab w:val="clear" w:pos="425"/>
      </w:tabs>
      <w:ind w:left="2190" w:hanging="360"/>
    </w:pPr>
  </w:style>
  <w:style w:type="paragraph" w:customStyle="1" w:styleId="EYBulletedtext2">
    <w:name w:val="EY Bulleted text 2"/>
    <w:basedOn w:val="EYBodytextwithparaspace"/>
    <w:rsid w:val="008A7BFA"/>
    <w:pPr>
      <w:numPr>
        <w:ilvl w:val="1"/>
        <w:numId w:val="6"/>
      </w:numPr>
      <w:tabs>
        <w:tab w:val="clear" w:pos="851"/>
      </w:tabs>
      <w:ind w:left="2910" w:hanging="360"/>
    </w:pPr>
  </w:style>
  <w:style w:type="character" w:customStyle="1" w:styleId="EYHeading2Char">
    <w:name w:val="EY Heading 2 Char"/>
    <w:basedOn w:val="DefaultParagraphFont"/>
    <w:link w:val="EYHeading2"/>
    <w:rsid w:val="008A7BFA"/>
    <w:rPr>
      <w:rFonts w:ascii="Arial" w:hAnsi="Arial" w:cs="Arial"/>
      <w:b/>
      <w:kern w:val="12"/>
      <w:sz w:val="22"/>
      <w:szCs w:val="24"/>
      <w:lang w:eastAsia="en-US"/>
    </w:rPr>
  </w:style>
  <w:style w:type="paragraph" w:customStyle="1" w:styleId="EYBulletedtext3">
    <w:name w:val="EY Bulleted text 3"/>
    <w:basedOn w:val="EYBulletedtext1"/>
    <w:qFormat/>
    <w:rsid w:val="008A7BFA"/>
    <w:pPr>
      <w:numPr>
        <w:ilvl w:val="2"/>
      </w:numPr>
      <w:tabs>
        <w:tab w:val="clear" w:pos="1276"/>
      </w:tabs>
      <w:ind w:left="3630" w:hanging="360"/>
    </w:pPr>
    <w:rPr>
      <w:rFonts w:cs="Times New Roman"/>
    </w:rPr>
  </w:style>
  <w:style w:type="paragraph" w:styleId="CommentSubject">
    <w:name w:val="annotation subject"/>
    <w:basedOn w:val="CommentText"/>
    <w:next w:val="CommentText"/>
    <w:link w:val="CommentSubjectChar"/>
    <w:rsid w:val="008A7BFA"/>
    <w:pPr>
      <w:numPr>
        <w:ilvl w:val="0"/>
      </w:numPr>
      <w:tabs>
        <w:tab w:val="clear" w:pos="720"/>
        <w:tab w:val="clear" w:pos="1440"/>
        <w:tab w:val="clear" w:pos="2160"/>
        <w:tab w:val="left" w:pos="709"/>
      </w:tabs>
      <w:spacing w:after="120" w:line="240" w:lineRule="auto"/>
      <w:ind w:left="709" w:hanging="709"/>
    </w:pPr>
    <w:rPr>
      <w:rFonts w:cs="Arial"/>
      <w:b/>
      <w:bCs/>
    </w:rPr>
  </w:style>
  <w:style w:type="character" w:customStyle="1" w:styleId="CommentSubjectChar">
    <w:name w:val="Comment Subject Char"/>
    <w:basedOn w:val="CommentTextChar"/>
    <w:link w:val="CommentSubject"/>
    <w:rsid w:val="008A7BFA"/>
    <w:rPr>
      <w:rFonts w:ascii="Arial" w:hAnsi="Arial" w:cs="Arial"/>
      <w:b/>
      <w:bCs/>
      <w:lang w:eastAsia="en-US"/>
    </w:rPr>
  </w:style>
  <w:style w:type="character" w:styleId="HTMLDefinition">
    <w:name w:val="HTML Definition"/>
    <w:basedOn w:val="DefaultParagraphFont"/>
    <w:uiPriority w:val="99"/>
    <w:unhideWhenUsed/>
    <w:rsid w:val="00C0527E"/>
    <w:rPr>
      <w:i/>
      <w:iCs/>
    </w:rPr>
  </w:style>
  <w:style w:type="table" w:customStyle="1" w:styleId="TableGrid1">
    <w:name w:val="Table Grid1"/>
    <w:basedOn w:val="TableNormal"/>
    <w:next w:val="TableGrid"/>
    <w:uiPriority w:val="59"/>
    <w:rsid w:val="00BC4D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2721"/>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2B49"/>
    <w:rPr>
      <w:rFonts w:asciiTheme="minorHAnsi" w:eastAsiaTheme="minorHAnsi" w:hAnsiTheme="minorHAnsi" w:cstheme="minorBidi"/>
      <w:sz w:val="22"/>
      <w:szCs w:val="22"/>
      <w:lang w:eastAsia="en-US"/>
    </w:rPr>
  </w:style>
  <w:style w:type="table" w:customStyle="1" w:styleId="GridTable4-Accent51">
    <w:name w:val="Grid Table 4 - Accent 51"/>
    <w:basedOn w:val="TableNormal"/>
    <w:uiPriority w:val="49"/>
    <w:rsid w:val="005F39DD"/>
    <w:rPr>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Paragraph">
    <w:name w:val="Table Paragraph"/>
    <w:basedOn w:val="Normal"/>
    <w:uiPriority w:val="1"/>
    <w:qFormat/>
    <w:rsid w:val="006A6BF2"/>
    <w:pPr>
      <w:widowControl w:val="0"/>
      <w:tabs>
        <w:tab w:val="clear" w:pos="720"/>
        <w:tab w:val="clear" w:pos="1440"/>
        <w:tab w:val="clear" w:pos="2160"/>
        <w:tab w:val="clear" w:pos="2880"/>
        <w:tab w:val="clear" w:pos="3600"/>
        <w:tab w:val="clear" w:pos="4320"/>
        <w:tab w:val="clear" w:pos="5040"/>
      </w:tabs>
      <w:autoSpaceDE w:val="0"/>
      <w:autoSpaceDN w:val="0"/>
      <w:adjustRightInd w:val="0"/>
    </w:pPr>
    <w:rPr>
      <w:rFonts w:ascii="Times New Roman" w:eastAsiaTheme="minorEastAsia" w:hAnsi="Times New Roman"/>
      <w:sz w:val="24"/>
      <w:szCs w:val="24"/>
      <w:lang w:eastAsia="en-GB"/>
    </w:rPr>
  </w:style>
  <w:style w:type="paragraph" w:customStyle="1" w:styleId="CM26">
    <w:name w:val="CM26"/>
    <w:basedOn w:val="Normal"/>
    <w:next w:val="Normal"/>
    <w:rsid w:val="002B1765"/>
    <w:pPr>
      <w:tabs>
        <w:tab w:val="clear" w:pos="720"/>
        <w:tab w:val="clear" w:pos="1440"/>
        <w:tab w:val="clear" w:pos="2160"/>
        <w:tab w:val="clear" w:pos="2880"/>
        <w:tab w:val="clear" w:pos="3600"/>
        <w:tab w:val="clear" w:pos="4320"/>
        <w:tab w:val="clear" w:pos="5040"/>
      </w:tabs>
      <w:autoSpaceDE w:val="0"/>
      <w:autoSpaceDN w:val="0"/>
      <w:adjustRightInd w:val="0"/>
    </w:pPr>
    <w:rPr>
      <w:sz w:val="24"/>
      <w:szCs w:val="24"/>
      <w:lang w:eastAsia="en-GB"/>
    </w:rPr>
  </w:style>
  <w:style w:type="table" w:customStyle="1" w:styleId="GridTable4Accent1">
    <w:name w:val="Grid Table 4 Accent 1"/>
    <w:basedOn w:val="TableNormal"/>
    <w:uiPriority w:val="49"/>
    <w:rsid w:val="00807D77"/>
    <w:rPr>
      <w:rFonts w:ascii="Times New Roman" w:hAnsi="Times New Roman"/>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TableNormal"/>
    <w:next w:val="TableGrid"/>
    <w:uiPriority w:val="99"/>
    <w:rsid w:val="004055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03FB"/>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84FB5"/>
  </w:style>
  <w:style w:type="table" w:customStyle="1" w:styleId="TableGrid5">
    <w:name w:val="Table Grid5"/>
    <w:basedOn w:val="TableNormal"/>
    <w:next w:val="TableGrid"/>
    <w:uiPriority w:val="59"/>
    <w:rsid w:val="00084F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C0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748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ading">
    <w:name w:val="para heading"/>
    <w:basedOn w:val="Normal"/>
    <w:rsid w:val="002D08B1"/>
    <w:pPr>
      <w:tabs>
        <w:tab w:val="clear" w:pos="720"/>
        <w:tab w:val="clear" w:pos="1440"/>
        <w:tab w:val="clear" w:pos="2160"/>
        <w:tab w:val="clear" w:pos="2880"/>
        <w:tab w:val="clear" w:pos="3600"/>
        <w:tab w:val="clear" w:pos="4320"/>
        <w:tab w:val="clear" w:pos="5040"/>
        <w:tab w:val="num" w:pos="737"/>
      </w:tabs>
      <w:spacing w:after="120"/>
      <w:ind w:left="737" w:hanging="737"/>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8369">
      <w:bodyDiv w:val="1"/>
      <w:marLeft w:val="0"/>
      <w:marRight w:val="0"/>
      <w:marTop w:val="0"/>
      <w:marBottom w:val="0"/>
      <w:divBdr>
        <w:top w:val="none" w:sz="0" w:space="0" w:color="auto"/>
        <w:left w:val="none" w:sz="0" w:space="0" w:color="auto"/>
        <w:bottom w:val="none" w:sz="0" w:space="0" w:color="auto"/>
        <w:right w:val="none" w:sz="0" w:space="0" w:color="auto"/>
      </w:divBdr>
    </w:div>
    <w:div w:id="34164446">
      <w:bodyDiv w:val="1"/>
      <w:marLeft w:val="0"/>
      <w:marRight w:val="0"/>
      <w:marTop w:val="0"/>
      <w:marBottom w:val="0"/>
      <w:divBdr>
        <w:top w:val="none" w:sz="0" w:space="0" w:color="auto"/>
        <w:left w:val="none" w:sz="0" w:space="0" w:color="auto"/>
        <w:bottom w:val="none" w:sz="0" w:space="0" w:color="auto"/>
        <w:right w:val="none" w:sz="0" w:space="0" w:color="auto"/>
      </w:divBdr>
    </w:div>
    <w:div w:id="37706467">
      <w:bodyDiv w:val="1"/>
      <w:marLeft w:val="0"/>
      <w:marRight w:val="0"/>
      <w:marTop w:val="0"/>
      <w:marBottom w:val="0"/>
      <w:divBdr>
        <w:top w:val="none" w:sz="0" w:space="0" w:color="auto"/>
        <w:left w:val="none" w:sz="0" w:space="0" w:color="auto"/>
        <w:bottom w:val="none" w:sz="0" w:space="0" w:color="auto"/>
        <w:right w:val="none" w:sz="0" w:space="0" w:color="auto"/>
      </w:divBdr>
    </w:div>
    <w:div w:id="37751539">
      <w:bodyDiv w:val="1"/>
      <w:marLeft w:val="0"/>
      <w:marRight w:val="0"/>
      <w:marTop w:val="0"/>
      <w:marBottom w:val="0"/>
      <w:divBdr>
        <w:top w:val="none" w:sz="0" w:space="0" w:color="auto"/>
        <w:left w:val="none" w:sz="0" w:space="0" w:color="auto"/>
        <w:bottom w:val="none" w:sz="0" w:space="0" w:color="auto"/>
        <w:right w:val="none" w:sz="0" w:space="0" w:color="auto"/>
      </w:divBdr>
    </w:div>
    <w:div w:id="55248792">
      <w:bodyDiv w:val="1"/>
      <w:marLeft w:val="0"/>
      <w:marRight w:val="0"/>
      <w:marTop w:val="0"/>
      <w:marBottom w:val="0"/>
      <w:divBdr>
        <w:top w:val="none" w:sz="0" w:space="0" w:color="auto"/>
        <w:left w:val="none" w:sz="0" w:space="0" w:color="auto"/>
        <w:bottom w:val="none" w:sz="0" w:space="0" w:color="auto"/>
        <w:right w:val="none" w:sz="0" w:space="0" w:color="auto"/>
      </w:divBdr>
    </w:div>
    <w:div w:id="55981078">
      <w:bodyDiv w:val="1"/>
      <w:marLeft w:val="0"/>
      <w:marRight w:val="0"/>
      <w:marTop w:val="0"/>
      <w:marBottom w:val="0"/>
      <w:divBdr>
        <w:top w:val="none" w:sz="0" w:space="0" w:color="auto"/>
        <w:left w:val="none" w:sz="0" w:space="0" w:color="auto"/>
        <w:bottom w:val="none" w:sz="0" w:space="0" w:color="auto"/>
        <w:right w:val="none" w:sz="0" w:space="0" w:color="auto"/>
      </w:divBdr>
    </w:div>
    <w:div w:id="62529614">
      <w:bodyDiv w:val="1"/>
      <w:marLeft w:val="0"/>
      <w:marRight w:val="0"/>
      <w:marTop w:val="0"/>
      <w:marBottom w:val="0"/>
      <w:divBdr>
        <w:top w:val="none" w:sz="0" w:space="0" w:color="auto"/>
        <w:left w:val="none" w:sz="0" w:space="0" w:color="auto"/>
        <w:bottom w:val="none" w:sz="0" w:space="0" w:color="auto"/>
        <w:right w:val="none" w:sz="0" w:space="0" w:color="auto"/>
      </w:divBdr>
    </w:div>
    <w:div w:id="65760415">
      <w:bodyDiv w:val="1"/>
      <w:marLeft w:val="0"/>
      <w:marRight w:val="0"/>
      <w:marTop w:val="0"/>
      <w:marBottom w:val="0"/>
      <w:divBdr>
        <w:top w:val="none" w:sz="0" w:space="0" w:color="auto"/>
        <w:left w:val="none" w:sz="0" w:space="0" w:color="auto"/>
        <w:bottom w:val="none" w:sz="0" w:space="0" w:color="auto"/>
        <w:right w:val="none" w:sz="0" w:space="0" w:color="auto"/>
      </w:divBdr>
    </w:div>
    <w:div w:id="71003736">
      <w:bodyDiv w:val="1"/>
      <w:marLeft w:val="0"/>
      <w:marRight w:val="0"/>
      <w:marTop w:val="0"/>
      <w:marBottom w:val="0"/>
      <w:divBdr>
        <w:top w:val="none" w:sz="0" w:space="0" w:color="auto"/>
        <w:left w:val="none" w:sz="0" w:space="0" w:color="auto"/>
        <w:bottom w:val="none" w:sz="0" w:space="0" w:color="auto"/>
        <w:right w:val="none" w:sz="0" w:space="0" w:color="auto"/>
      </w:divBdr>
    </w:div>
    <w:div w:id="86193405">
      <w:bodyDiv w:val="1"/>
      <w:marLeft w:val="0"/>
      <w:marRight w:val="0"/>
      <w:marTop w:val="0"/>
      <w:marBottom w:val="0"/>
      <w:divBdr>
        <w:top w:val="none" w:sz="0" w:space="0" w:color="auto"/>
        <w:left w:val="none" w:sz="0" w:space="0" w:color="auto"/>
        <w:bottom w:val="none" w:sz="0" w:space="0" w:color="auto"/>
        <w:right w:val="none" w:sz="0" w:space="0" w:color="auto"/>
      </w:divBdr>
    </w:div>
    <w:div w:id="117723163">
      <w:bodyDiv w:val="1"/>
      <w:marLeft w:val="0"/>
      <w:marRight w:val="0"/>
      <w:marTop w:val="0"/>
      <w:marBottom w:val="0"/>
      <w:divBdr>
        <w:top w:val="none" w:sz="0" w:space="0" w:color="auto"/>
        <w:left w:val="none" w:sz="0" w:space="0" w:color="auto"/>
        <w:bottom w:val="none" w:sz="0" w:space="0" w:color="auto"/>
        <w:right w:val="none" w:sz="0" w:space="0" w:color="auto"/>
      </w:divBdr>
    </w:div>
    <w:div w:id="125854650">
      <w:bodyDiv w:val="1"/>
      <w:marLeft w:val="0"/>
      <w:marRight w:val="0"/>
      <w:marTop w:val="0"/>
      <w:marBottom w:val="0"/>
      <w:divBdr>
        <w:top w:val="none" w:sz="0" w:space="0" w:color="auto"/>
        <w:left w:val="none" w:sz="0" w:space="0" w:color="auto"/>
        <w:bottom w:val="none" w:sz="0" w:space="0" w:color="auto"/>
        <w:right w:val="none" w:sz="0" w:space="0" w:color="auto"/>
      </w:divBdr>
    </w:div>
    <w:div w:id="138156572">
      <w:bodyDiv w:val="1"/>
      <w:marLeft w:val="0"/>
      <w:marRight w:val="0"/>
      <w:marTop w:val="0"/>
      <w:marBottom w:val="0"/>
      <w:divBdr>
        <w:top w:val="none" w:sz="0" w:space="0" w:color="auto"/>
        <w:left w:val="none" w:sz="0" w:space="0" w:color="auto"/>
        <w:bottom w:val="none" w:sz="0" w:space="0" w:color="auto"/>
        <w:right w:val="none" w:sz="0" w:space="0" w:color="auto"/>
      </w:divBdr>
    </w:div>
    <w:div w:id="142353833">
      <w:bodyDiv w:val="1"/>
      <w:marLeft w:val="0"/>
      <w:marRight w:val="0"/>
      <w:marTop w:val="0"/>
      <w:marBottom w:val="0"/>
      <w:divBdr>
        <w:top w:val="none" w:sz="0" w:space="0" w:color="auto"/>
        <w:left w:val="none" w:sz="0" w:space="0" w:color="auto"/>
        <w:bottom w:val="none" w:sz="0" w:space="0" w:color="auto"/>
        <w:right w:val="none" w:sz="0" w:space="0" w:color="auto"/>
      </w:divBdr>
    </w:div>
    <w:div w:id="143815924">
      <w:bodyDiv w:val="1"/>
      <w:marLeft w:val="0"/>
      <w:marRight w:val="0"/>
      <w:marTop w:val="0"/>
      <w:marBottom w:val="0"/>
      <w:divBdr>
        <w:top w:val="none" w:sz="0" w:space="0" w:color="auto"/>
        <w:left w:val="none" w:sz="0" w:space="0" w:color="auto"/>
        <w:bottom w:val="none" w:sz="0" w:space="0" w:color="auto"/>
        <w:right w:val="none" w:sz="0" w:space="0" w:color="auto"/>
      </w:divBdr>
    </w:div>
    <w:div w:id="201480443">
      <w:bodyDiv w:val="1"/>
      <w:marLeft w:val="0"/>
      <w:marRight w:val="0"/>
      <w:marTop w:val="0"/>
      <w:marBottom w:val="0"/>
      <w:divBdr>
        <w:top w:val="none" w:sz="0" w:space="0" w:color="auto"/>
        <w:left w:val="none" w:sz="0" w:space="0" w:color="auto"/>
        <w:bottom w:val="none" w:sz="0" w:space="0" w:color="auto"/>
        <w:right w:val="none" w:sz="0" w:space="0" w:color="auto"/>
      </w:divBdr>
    </w:div>
    <w:div w:id="205678179">
      <w:bodyDiv w:val="1"/>
      <w:marLeft w:val="0"/>
      <w:marRight w:val="0"/>
      <w:marTop w:val="0"/>
      <w:marBottom w:val="0"/>
      <w:divBdr>
        <w:top w:val="none" w:sz="0" w:space="0" w:color="auto"/>
        <w:left w:val="none" w:sz="0" w:space="0" w:color="auto"/>
        <w:bottom w:val="none" w:sz="0" w:space="0" w:color="auto"/>
        <w:right w:val="none" w:sz="0" w:space="0" w:color="auto"/>
      </w:divBdr>
    </w:div>
    <w:div w:id="216404448">
      <w:bodyDiv w:val="1"/>
      <w:marLeft w:val="0"/>
      <w:marRight w:val="0"/>
      <w:marTop w:val="0"/>
      <w:marBottom w:val="0"/>
      <w:divBdr>
        <w:top w:val="none" w:sz="0" w:space="0" w:color="auto"/>
        <w:left w:val="none" w:sz="0" w:space="0" w:color="auto"/>
        <w:bottom w:val="none" w:sz="0" w:space="0" w:color="auto"/>
        <w:right w:val="none" w:sz="0" w:space="0" w:color="auto"/>
      </w:divBdr>
    </w:div>
    <w:div w:id="219245943">
      <w:bodyDiv w:val="1"/>
      <w:marLeft w:val="0"/>
      <w:marRight w:val="0"/>
      <w:marTop w:val="0"/>
      <w:marBottom w:val="0"/>
      <w:divBdr>
        <w:top w:val="none" w:sz="0" w:space="0" w:color="auto"/>
        <w:left w:val="none" w:sz="0" w:space="0" w:color="auto"/>
        <w:bottom w:val="none" w:sz="0" w:space="0" w:color="auto"/>
        <w:right w:val="none" w:sz="0" w:space="0" w:color="auto"/>
      </w:divBdr>
    </w:div>
    <w:div w:id="238096561">
      <w:bodyDiv w:val="1"/>
      <w:marLeft w:val="0"/>
      <w:marRight w:val="0"/>
      <w:marTop w:val="0"/>
      <w:marBottom w:val="0"/>
      <w:divBdr>
        <w:top w:val="none" w:sz="0" w:space="0" w:color="auto"/>
        <w:left w:val="none" w:sz="0" w:space="0" w:color="auto"/>
        <w:bottom w:val="none" w:sz="0" w:space="0" w:color="auto"/>
        <w:right w:val="none" w:sz="0" w:space="0" w:color="auto"/>
      </w:divBdr>
    </w:div>
    <w:div w:id="238638425">
      <w:bodyDiv w:val="1"/>
      <w:marLeft w:val="0"/>
      <w:marRight w:val="0"/>
      <w:marTop w:val="0"/>
      <w:marBottom w:val="0"/>
      <w:divBdr>
        <w:top w:val="none" w:sz="0" w:space="0" w:color="auto"/>
        <w:left w:val="none" w:sz="0" w:space="0" w:color="auto"/>
        <w:bottom w:val="none" w:sz="0" w:space="0" w:color="auto"/>
        <w:right w:val="none" w:sz="0" w:space="0" w:color="auto"/>
      </w:divBdr>
    </w:div>
    <w:div w:id="257761062">
      <w:bodyDiv w:val="1"/>
      <w:marLeft w:val="0"/>
      <w:marRight w:val="0"/>
      <w:marTop w:val="0"/>
      <w:marBottom w:val="0"/>
      <w:divBdr>
        <w:top w:val="none" w:sz="0" w:space="0" w:color="auto"/>
        <w:left w:val="none" w:sz="0" w:space="0" w:color="auto"/>
        <w:bottom w:val="none" w:sz="0" w:space="0" w:color="auto"/>
        <w:right w:val="none" w:sz="0" w:space="0" w:color="auto"/>
      </w:divBdr>
    </w:div>
    <w:div w:id="271787697">
      <w:bodyDiv w:val="1"/>
      <w:marLeft w:val="0"/>
      <w:marRight w:val="0"/>
      <w:marTop w:val="0"/>
      <w:marBottom w:val="0"/>
      <w:divBdr>
        <w:top w:val="none" w:sz="0" w:space="0" w:color="auto"/>
        <w:left w:val="none" w:sz="0" w:space="0" w:color="auto"/>
        <w:bottom w:val="none" w:sz="0" w:space="0" w:color="auto"/>
        <w:right w:val="none" w:sz="0" w:space="0" w:color="auto"/>
      </w:divBdr>
    </w:div>
    <w:div w:id="281574189">
      <w:bodyDiv w:val="1"/>
      <w:marLeft w:val="0"/>
      <w:marRight w:val="0"/>
      <w:marTop w:val="0"/>
      <w:marBottom w:val="0"/>
      <w:divBdr>
        <w:top w:val="none" w:sz="0" w:space="0" w:color="auto"/>
        <w:left w:val="none" w:sz="0" w:space="0" w:color="auto"/>
        <w:bottom w:val="none" w:sz="0" w:space="0" w:color="auto"/>
        <w:right w:val="none" w:sz="0" w:space="0" w:color="auto"/>
      </w:divBdr>
    </w:div>
    <w:div w:id="289821465">
      <w:bodyDiv w:val="1"/>
      <w:marLeft w:val="0"/>
      <w:marRight w:val="0"/>
      <w:marTop w:val="0"/>
      <w:marBottom w:val="0"/>
      <w:divBdr>
        <w:top w:val="none" w:sz="0" w:space="0" w:color="auto"/>
        <w:left w:val="none" w:sz="0" w:space="0" w:color="auto"/>
        <w:bottom w:val="none" w:sz="0" w:space="0" w:color="auto"/>
        <w:right w:val="none" w:sz="0" w:space="0" w:color="auto"/>
      </w:divBdr>
    </w:div>
    <w:div w:id="297340488">
      <w:bodyDiv w:val="1"/>
      <w:marLeft w:val="0"/>
      <w:marRight w:val="0"/>
      <w:marTop w:val="0"/>
      <w:marBottom w:val="0"/>
      <w:divBdr>
        <w:top w:val="none" w:sz="0" w:space="0" w:color="auto"/>
        <w:left w:val="none" w:sz="0" w:space="0" w:color="auto"/>
        <w:bottom w:val="none" w:sz="0" w:space="0" w:color="auto"/>
        <w:right w:val="none" w:sz="0" w:space="0" w:color="auto"/>
      </w:divBdr>
    </w:div>
    <w:div w:id="340204112">
      <w:bodyDiv w:val="1"/>
      <w:marLeft w:val="0"/>
      <w:marRight w:val="0"/>
      <w:marTop w:val="0"/>
      <w:marBottom w:val="0"/>
      <w:divBdr>
        <w:top w:val="none" w:sz="0" w:space="0" w:color="auto"/>
        <w:left w:val="none" w:sz="0" w:space="0" w:color="auto"/>
        <w:bottom w:val="none" w:sz="0" w:space="0" w:color="auto"/>
        <w:right w:val="none" w:sz="0" w:space="0" w:color="auto"/>
      </w:divBdr>
    </w:div>
    <w:div w:id="356468015">
      <w:bodyDiv w:val="1"/>
      <w:marLeft w:val="0"/>
      <w:marRight w:val="0"/>
      <w:marTop w:val="0"/>
      <w:marBottom w:val="0"/>
      <w:divBdr>
        <w:top w:val="none" w:sz="0" w:space="0" w:color="auto"/>
        <w:left w:val="none" w:sz="0" w:space="0" w:color="auto"/>
        <w:bottom w:val="none" w:sz="0" w:space="0" w:color="auto"/>
        <w:right w:val="none" w:sz="0" w:space="0" w:color="auto"/>
      </w:divBdr>
    </w:div>
    <w:div w:id="358312757">
      <w:bodyDiv w:val="1"/>
      <w:marLeft w:val="0"/>
      <w:marRight w:val="0"/>
      <w:marTop w:val="0"/>
      <w:marBottom w:val="0"/>
      <w:divBdr>
        <w:top w:val="none" w:sz="0" w:space="0" w:color="auto"/>
        <w:left w:val="none" w:sz="0" w:space="0" w:color="auto"/>
        <w:bottom w:val="none" w:sz="0" w:space="0" w:color="auto"/>
        <w:right w:val="none" w:sz="0" w:space="0" w:color="auto"/>
      </w:divBdr>
    </w:div>
    <w:div w:id="373389922">
      <w:bodyDiv w:val="1"/>
      <w:marLeft w:val="0"/>
      <w:marRight w:val="0"/>
      <w:marTop w:val="0"/>
      <w:marBottom w:val="0"/>
      <w:divBdr>
        <w:top w:val="none" w:sz="0" w:space="0" w:color="auto"/>
        <w:left w:val="none" w:sz="0" w:space="0" w:color="auto"/>
        <w:bottom w:val="none" w:sz="0" w:space="0" w:color="auto"/>
        <w:right w:val="none" w:sz="0" w:space="0" w:color="auto"/>
      </w:divBdr>
    </w:div>
    <w:div w:id="377437266">
      <w:bodyDiv w:val="1"/>
      <w:marLeft w:val="0"/>
      <w:marRight w:val="0"/>
      <w:marTop w:val="0"/>
      <w:marBottom w:val="0"/>
      <w:divBdr>
        <w:top w:val="none" w:sz="0" w:space="0" w:color="auto"/>
        <w:left w:val="none" w:sz="0" w:space="0" w:color="auto"/>
        <w:bottom w:val="none" w:sz="0" w:space="0" w:color="auto"/>
        <w:right w:val="none" w:sz="0" w:space="0" w:color="auto"/>
      </w:divBdr>
    </w:div>
    <w:div w:id="387996830">
      <w:bodyDiv w:val="1"/>
      <w:marLeft w:val="0"/>
      <w:marRight w:val="0"/>
      <w:marTop w:val="0"/>
      <w:marBottom w:val="0"/>
      <w:divBdr>
        <w:top w:val="none" w:sz="0" w:space="0" w:color="auto"/>
        <w:left w:val="none" w:sz="0" w:space="0" w:color="auto"/>
        <w:bottom w:val="none" w:sz="0" w:space="0" w:color="auto"/>
        <w:right w:val="none" w:sz="0" w:space="0" w:color="auto"/>
      </w:divBdr>
    </w:div>
    <w:div w:id="392899527">
      <w:bodyDiv w:val="1"/>
      <w:marLeft w:val="0"/>
      <w:marRight w:val="0"/>
      <w:marTop w:val="0"/>
      <w:marBottom w:val="0"/>
      <w:divBdr>
        <w:top w:val="none" w:sz="0" w:space="0" w:color="auto"/>
        <w:left w:val="none" w:sz="0" w:space="0" w:color="auto"/>
        <w:bottom w:val="none" w:sz="0" w:space="0" w:color="auto"/>
        <w:right w:val="none" w:sz="0" w:space="0" w:color="auto"/>
      </w:divBdr>
    </w:div>
    <w:div w:id="398022803">
      <w:bodyDiv w:val="1"/>
      <w:marLeft w:val="0"/>
      <w:marRight w:val="0"/>
      <w:marTop w:val="0"/>
      <w:marBottom w:val="0"/>
      <w:divBdr>
        <w:top w:val="none" w:sz="0" w:space="0" w:color="auto"/>
        <w:left w:val="none" w:sz="0" w:space="0" w:color="auto"/>
        <w:bottom w:val="none" w:sz="0" w:space="0" w:color="auto"/>
        <w:right w:val="none" w:sz="0" w:space="0" w:color="auto"/>
      </w:divBdr>
    </w:div>
    <w:div w:id="430274904">
      <w:bodyDiv w:val="1"/>
      <w:marLeft w:val="0"/>
      <w:marRight w:val="0"/>
      <w:marTop w:val="0"/>
      <w:marBottom w:val="0"/>
      <w:divBdr>
        <w:top w:val="none" w:sz="0" w:space="0" w:color="auto"/>
        <w:left w:val="none" w:sz="0" w:space="0" w:color="auto"/>
        <w:bottom w:val="none" w:sz="0" w:space="0" w:color="auto"/>
        <w:right w:val="none" w:sz="0" w:space="0" w:color="auto"/>
      </w:divBdr>
    </w:div>
    <w:div w:id="433983250">
      <w:bodyDiv w:val="1"/>
      <w:marLeft w:val="0"/>
      <w:marRight w:val="0"/>
      <w:marTop w:val="0"/>
      <w:marBottom w:val="0"/>
      <w:divBdr>
        <w:top w:val="none" w:sz="0" w:space="0" w:color="auto"/>
        <w:left w:val="none" w:sz="0" w:space="0" w:color="auto"/>
        <w:bottom w:val="none" w:sz="0" w:space="0" w:color="auto"/>
        <w:right w:val="none" w:sz="0" w:space="0" w:color="auto"/>
      </w:divBdr>
    </w:div>
    <w:div w:id="445658109">
      <w:bodyDiv w:val="1"/>
      <w:marLeft w:val="0"/>
      <w:marRight w:val="0"/>
      <w:marTop w:val="0"/>
      <w:marBottom w:val="0"/>
      <w:divBdr>
        <w:top w:val="none" w:sz="0" w:space="0" w:color="auto"/>
        <w:left w:val="none" w:sz="0" w:space="0" w:color="auto"/>
        <w:bottom w:val="none" w:sz="0" w:space="0" w:color="auto"/>
        <w:right w:val="none" w:sz="0" w:space="0" w:color="auto"/>
      </w:divBdr>
    </w:div>
    <w:div w:id="452485566">
      <w:bodyDiv w:val="1"/>
      <w:marLeft w:val="0"/>
      <w:marRight w:val="0"/>
      <w:marTop w:val="0"/>
      <w:marBottom w:val="0"/>
      <w:divBdr>
        <w:top w:val="none" w:sz="0" w:space="0" w:color="auto"/>
        <w:left w:val="none" w:sz="0" w:space="0" w:color="auto"/>
        <w:bottom w:val="none" w:sz="0" w:space="0" w:color="auto"/>
        <w:right w:val="none" w:sz="0" w:space="0" w:color="auto"/>
      </w:divBdr>
    </w:div>
    <w:div w:id="458299398">
      <w:bodyDiv w:val="1"/>
      <w:marLeft w:val="0"/>
      <w:marRight w:val="0"/>
      <w:marTop w:val="0"/>
      <w:marBottom w:val="0"/>
      <w:divBdr>
        <w:top w:val="none" w:sz="0" w:space="0" w:color="auto"/>
        <w:left w:val="none" w:sz="0" w:space="0" w:color="auto"/>
        <w:bottom w:val="none" w:sz="0" w:space="0" w:color="auto"/>
        <w:right w:val="none" w:sz="0" w:space="0" w:color="auto"/>
      </w:divBdr>
    </w:div>
    <w:div w:id="465585885">
      <w:bodyDiv w:val="1"/>
      <w:marLeft w:val="0"/>
      <w:marRight w:val="0"/>
      <w:marTop w:val="0"/>
      <w:marBottom w:val="0"/>
      <w:divBdr>
        <w:top w:val="none" w:sz="0" w:space="0" w:color="auto"/>
        <w:left w:val="none" w:sz="0" w:space="0" w:color="auto"/>
        <w:bottom w:val="none" w:sz="0" w:space="0" w:color="auto"/>
        <w:right w:val="none" w:sz="0" w:space="0" w:color="auto"/>
      </w:divBdr>
    </w:div>
    <w:div w:id="486868531">
      <w:bodyDiv w:val="1"/>
      <w:marLeft w:val="0"/>
      <w:marRight w:val="0"/>
      <w:marTop w:val="0"/>
      <w:marBottom w:val="0"/>
      <w:divBdr>
        <w:top w:val="none" w:sz="0" w:space="0" w:color="auto"/>
        <w:left w:val="none" w:sz="0" w:space="0" w:color="auto"/>
        <w:bottom w:val="none" w:sz="0" w:space="0" w:color="auto"/>
        <w:right w:val="none" w:sz="0" w:space="0" w:color="auto"/>
      </w:divBdr>
    </w:div>
    <w:div w:id="487329254">
      <w:bodyDiv w:val="1"/>
      <w:marLeft w:val="0"/>
      <w:marRight w:val="0"/>
      <w:marTop w:val="0"/>
      <w:marBottom w:val="0"/>
      <w:divBdr>
        <w:top w:val="none" w:sz="0" w:space="0" w:color="auto"/>
        <w:left w:val="none" w:sz="0" w:space="0" w:color="auto"/>
        <w:bottom w:val="none" w:sz="0" w:space="0" w:color="auto"/>
        <w:right w:val="none" w:sz="0" w:space="0" w:color="auto"/>
      </w:divBdr>
    </w:div>
    <w:div w:id="539054926">
      <w:bodyDiv w:val="1"/>
      <w:marLeft w:val="0"/>
      <w:marRight w:val="0"/>
      <w:marTop w:val="0"/>
      <w:marBottom w:val="0"/>
      <w:divBdr>
        <w:top w:val="none" w:sz="0" w:space="0" w:color="auto"/>
        <w:left w:val="none" w:sz="0" w:space="0" w:color="auto"/>
        <w:bottom w:val="none" w:sz="0" w:space="0" w:color="auto"/>
        <w:right w:val="none" w:sz="0" w:space="0" w:color="auto"/>
      </w:divBdr>
    </w:div>
    <w:div w:id="540361849">
      <w:bodyDiv w:val="1"/>
      <w:marLeft w:val="0"/>
      <w:marRight w:val="0"/>
      <w:marTop w:val="0"/>
      <w:marBottom w:val="0"/>
      <w:divBdr>
        <w:top w:val="none" w:sz="0" w:space="0" w:color="auto"/>
        <w:left w:val="none" w:sz="0" w:space="0" w:color="auto"/>
        <w:bottom w:val="none" w:sz="0" w:space="0" w:color="auto"/>
        <w:right w:val="none" w:sz="0" w:space="0" w:color="auto"/>
      </w:divBdr>
    </w:div>
    <w:div w:id="543172748">
      <w:bodyDiv w:val="1"/>
      <w:marLeft w:val="0"/>
      <w:marRight w:val="0"/>
      <w:marTop w:val="0"/>
      <w:marBottom w:val="0"/>
      <w:divBdr>
        <w:top w:val="none" w:sz="0" w:space="0" w:color="auto"/>
        <w:left w:val="none" w:sz="0" w:space="0" w:color="auto"/>
        <w:bottom w:val="none" w:sz="0" w:space="0" w:color="auto"/>
        <w:right w:val="none" w:sz="0" w:space="0" w:color="auto"/>
      </w:divBdr>
    </w:div>
    <w:div w:id="548342313">
      <w:bodyDiv w:val="1"/>
      <w:marLeft w:val="0"/>
      <w:marRight w:val="0"/>
      <w:marTop w:val="0"/>
      <w:marBottom w:val="0"/>
      <w:divBdr>
        <w:top w:val="none" w:sz="0" w:space="0" w:color="auto"/>
        <w:left w:val="none" w:sz="0" w:space="0" w:color="auto"/>
        <w:bottom w:val="none" w:sz="0" w:space="0" w:color="auto"/>
        <w:right w:val="none" w:sz="0" w:space="0" w:color="auto"/>
      </w:divBdr>
    </w:div>
    <w:div w:id="556204469">
      <w:bodyDiv w:val="1"/>
      <w:marLeft w:val="0"/>
      <w:marRight w:val="0"/>
      <w:marTop w:val="0"/>
      <w:marBottom w:val="0"/>
      <w:divBdr>
        <w:top w:val="none" w:sz="0" w:space="0" w:color="auto"/>
        <w:left w:val="none" w:sz="0" w:space="0" w:color="auto"/>
        <w:bottom w:val="none" w:sz="0" w:space="0" w:color="auto"/>
        <w:right w:val="none" w:sz="0" w:space="0" w:color="auto"/>
      </w:divBdr>
    </w:div>
    <w:div w:id="556668435">
      <w:bodyDiv w:val="1"/>
      <w:marLeft w:val="0"/>
      <w:marRight w:val="0"/>
      <w:marTop w:val="0"/>
      <w:marBottom w:val="0"/>
      <w:divBdr>
        <w:top w:val="none" w:sz="0" w:space="0" w:color="auto"/>
        <w:left w:val="none" w:sz="0" w:space="0" w:color="auto"/>
        <w:bottom w:val="none" w:sz="0" w:space="0" w:color="auto"/>
        <w:right w:val="none" w:sz="0" w:space="0" w:color="auto"/>
      </w:divBdr>
    </w:div>
    <w:div w:id="567303227">
      <w:bodyDiv w:val="1"/>
      <w:marLeft w:val="0"/>
      <w:marRight w:val="0"/>
      <w:marTop w:val="0"/>
      <w:marBottom w:val="0"/>
      <w:divBdr>
        <w:top w:val="none" w:sz="0" w:space="0" w:color="auto"/>
        <w:left w:val="none" w:sz="0" w:space="0" w:color="auto"/>
        <w:bottom w:val="none" w:sz="0" w:space="0" w:color="auto"/>
        <w:right w:val="none" w:sz="0" w:space="0" w:color="auto"/>
      </w:divBdr>
    </w:div>
    <w:div w:id="583413098">
      <w:bodyDiv w:val="1"/>
      <w:marLeft w:val="0"/>
      <w:marRight w:val="0"/>
      <w:marTop w:val="0"/>
      <w:marBottom w:val="0"/>
      <w:divBdr>
        <w:top w:val="none" w:sz="0" w:space="0" w:color="auto"/>
        <w:left w:val="none" w:sz="0" w:space="0" w:color="auto"/>
        <w:bottom w:val="none" w:sz="0" w:space="0" w:color="auto"/>
        <w:right w:val="none" w:sz="0" w:space="0" w:color="auto"/>
      </w:divBdr>
    </w:div>
    <w:div w:id="587232243">
      <w:bodyDiv w:val="1"/>
      <w:marLeft w:val="0"/>
      <w:marRight w:val="0"/>
      <w:marTop w:val="0"/>
      <w:marBottom w:val="0"/>
      <w:divBdr>
        <w:top w:val="none" w:sz="0" w:space="0" w:color="auto"/>
        <w:left w:val="none" w:sz="0" w:space="0" w:color="auto"/>
        <w:bottom w:val="none" w:sz="0" w:space="0" w:color="auto"/>
        <w:right w:val="none" w:sz="0" w:space="0" w:color="auto"/>
      </w:divBdr>
    </w:div>
    <w:div w:id="626856608">
      <w:bodyDiv w:val="1"/>
      <w:marLeft w:val="0"/>
      <w:marRight w:val="0"/>
      <w:marTop w:val="0"/>
      <w:marBottom w:val="0"/>
      <w:divBdr>
        <w:top w:val="none" w:sz="0" w:space="0" w:color="auto"/>
        <w:left w:val="none" w:sz="0" w:space="0" w:color="auto"/>
        <w:bottom w:val="none" w:sz="0" w:space="0" w:color="auto"/>
        <w:right w:val="none" w:sz="0" w:space="0" w:color="auto"/>
      </w:divBdr>
    </w:div>
    <w:div w:id="650519665">
      <w:bodyDiv w:val="1"/>
      <w:marLeft w:val="0"/>
      <w:marRight w:val="0"/>
      <w:marTop w:val="0"/>
      <w:marBottom w:val="0"/>
      <w:divBdr>
        <w:top w:val="none" w:sz="0" w:space="0" w:color="auto"/>
        <w:left w:val="none" w:sz="0" w:space="0" w:color="auto"/>
        <w:bottom w:val="none" w:sz="0" w:space="0" w:color="auto"/>
        <w:right w:val="none" w:sz="0" w:space="0" w:color="auto"/>
      </w:divBdr>
    </w:div>
    <w:div w:id="657684356">
      <w:bodyDiv w:val="1"/>
      <w:marLeft w:val="0"/>
      <w:marRight w:val="0"/>
      <w:marTop w:val="0"/>
      <w:marBottom w:val="0"/>
      <w:divBdr>
        <w:top w:val="none" w:sz="0" w:space="0" w:color="auto"/>
        <w:left w:val="none" w:sz="0" w:space="0" w:color="auto"/>
        <w:bottom w:val="none" w:sz="0" w:space="0" w:color="auto"/>
        <w:right w:val="none" w:sz="0" w:space="0" w:color="auto"/>
      </w:divBdr>
    </w:div>
    <w:div w:id="671639855">
      <w:bodyDiv w:val="1"/>
      <w:marLeft w:val="0"/>
      <w:marRight w:val="0"/>
      <w:marTop w:val="0"/>
      <w:marBottom w:val="0"/>
      <w:divBdr>
        <w:top w:val="none" w:sz="0" w:space="0" w:color="auto"/>
        <w:left w:val="none" w:sz="0" w:space="0" w:color="auto"/>
        <w:bottom w:val="none" w:sz="0" w:space="0" w:color="auto"/>
        <w:right w:val="none" w:sz="0" w:space="0" w:color="auto"/>
      </w:divBdr>
    </w:div>
    <w:div w:id="671643037">
      <w:bodyDiv w:val="1"/>
      <w:marLeft w:val="0"/>
      <w:marRight w:val="0"/>
      <w:marTop w:val="0"/>
      <w:marBottom w:val="0"/>
      <w:divBdr>
        <w:top w:val="none" w:sz="0" w:space="0" w:color="auto"/>
        <w:left w:val="none" w:sz="0" w:space="0" w:color="auto"/>
        <w:bottom w:val="none" w:sz="0" w:space="0" w:color="auto"/>
        <w:right w:val="none" w:sz="0" w:space="0" w:color="auto"/>
      </w:divBdr>
    </w:div>
    <w:div w:id="682123582">
      <w:bodyDiv w:val="1"/>
      <w:marLeft w:val="0"/>
      <w:marRight w:val="0"/>
      <w:marTop w:val="0"/>
      <w:marBottom w:val="0"/>
      <w:divBdr>
        <w:top w:val="none" w:sz="0" w:space="0" w:color="auto"/>
        <w:left w:val="none" w:sz="0" w:space="0" w:color="auto"/>
        <w:bottom w:val="none" w:sz="0" w:space="0" w:color="auto"/>
        <w:right w:val="none" w:sz="0" w:space="0" w:color="auto"/>
      </w:divBdr>
    </w:div>
    <w:div w:id="697320616">
      <w:bodyDiv w:val="1"/>
      <w:marLeft w:val="0"/>
      <w:marRight w:val="0"/>
      <w:marTop w:val="0"/>
      <w:marBottom w:val="0"/>
      <w:divBdr>
        <w:top w:val="none" w:sz="0" w:space="0" w:color="auto"/>
        <w:left w:val="none" w:sz="0" w:space="0" w:color="auto"/>
        <w:bottom w:val="none" w:sz="0" w:space="0" w:color="auto"/>
        <w:right w:val="none" w:sz="0" w:space="0" w:color="auto"/>
      </w:divBdr>
    </w:div>
    <w:div w:id="719549600">
      <w:bodyDiv w:val="1"/>
      <w:marLeft w:val="0"/>
      <w:marRight w:val="0"/>
      <w:marTop w:val="0"/>
      <w:marBottom w:val="0"/>
      <w:divBdr>
        <w:top w:val="none" w:sz="0" w:space="0" w:color="auto"/>
        <w:left w:val="none" w:sz="0" w:space="0" w:color="auto"/>
        <w:bottom w:val="none" w:sz="0" w:space="0" w:color="auto"/>
        <w:right w:val="none" w:sz="0" w:space="0" w:color="auto"/>
      </w:divBdr>
    </w:div>
    <w:div w:id="720833851">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743911567">
      <w:bodyDiv w:val="1"/>
      <w:marLeft w:val="0"/>
      <w:marRight w:val="0"/>
      <w:marTop w:val="0"/>
      <w:marBottom w:val="0"/>
      <w:divBdr>
        <w:top w:val="none" w:sz="0" w:space="0" w:color="auto"/>
        <w:left w:val="none" w:sz="0" w:space="0" w:color="auto"/>
        <w:bottom w:val="none" w:sz="0" w:space="0" w:color="auto"/>
        <w:right w:val="none" w:sz="0" w:space="0" w:color="auto"/>
      </w:divBdr>
    </w:div>
    <w:div w:id="769618086">
      <w:bodyDiv w:val="1"/>
      <w:marLeft w:val="0"/>
      <w:marRight w:val="0"/>
      <w:marTop w:val="0"/>
      <w:marBottom w:val="0"/>
      <w:divBdr>
        <w:top w:val="none" w:sz="0" w:space="0" w:color="auto"/>
        <w:left w:val="none" w:sz="0" w:space="0" w:color="auto"/>
        <w:bottom w:val="none" w:sz="0" w:space="0" w:color="auto"/>
        <w:right w:val="none" w:sz="0" w:space="0" w:color="auto"/>
      </w:divBdr>
    </w:div>
    <w:div w:id="772749576">
      <w:bodyDiv w:val="1"/>
      <w:marLeft w:val="0"/>
      <w:marRight w:val="0"/>
      <w:marTop w:val="0"/>
      <w:marBottom w:val="0"/>
      <w:divBdr>
        <w:top w:val="none" w:sz="0" w:space="0" w:color="auto"/>
        <w:left w:val="none" w:sz="0" w:space="0" w:color="auto"/>
        <w:bottom w:val="none" w:sz="0" w:space="0" w:color="auto"/>
        <w:right w:val="none" w:sz="0" w:space="0" w:color="auto"/>
      </w:divBdr>
    </w:div>
    <w:div w:id="781077470">
      <w:bodyDiv w:val="1"/>
      <w:marLeft w:val="0"/>
      <w:marRight w:val="0"/>
      <w:marTop w:val="0"/>
      <w:marBottom w:val="0"/>
      <w:divBdr>
        <w:top w:val="none" w:sz="0" w:space="0" w:color="auto"/>
        <w:left w:val="none" w:sz="0" w:space="0" w:color="auto"/>
        <w:bottom w:val="none" w:sz="0" w:space="0" w:color="auto"/>
        <w:right w:val="none" w:sz="0" w:space="0" w:color="auto"/>
      </w:divBdr>
    </w:div>
    <w:div w:id="791904178">
      <w:bodyDiv w:val="1"/>
      <w:marLeft w:val="0"/>
      <w:marRight w:val="0"/>
      <w:marTop w:val="0"/>
      <w:marBottom w:val="0"/>
      <w:divBdr>
        <w:top w:val="none" w:sz="0" w:space="0" w:color="auto"/>
        <w:left w:val="none" w:sz="0" w:space="0" w:color="auto"/>
        <w:bottom w:val="none" w:sz="0" w:space="0" w:color="auto"/>
        <w:right w:val="none" w:sz="0" w:space="0" w:color="auto"/>
      </w:divBdr>
    </w:div>
    <w:div w:id="793445346">
      <w:bodyDiv w:val="1"/>
      <w:marLeft w:val="0"/>
      <w:marRight w:val="0"/>
      <w:marTop w:val="0"/>
      <w:marBottom w:val="0"/>
      <w:divBdr>
        <w:top w:val="none" w:sz="0" w:space="0" w:color="auto"/>
        <w:left w:val="none" w:sz="0" w:space="0" w:color="auto"/>
        <w:bottom w:val="none" w:sz="0" w:space="0" w:color="auto"/>
        <w:right w:val="none" w:sz="0" w:space="0" w:color="auto"/>
      </w:divBdr>
    </w:div>
    <w:div w:id="804927503">
      <w:bodyDiv w:val="1"/>
      <w:marLeft w:val="0"/>
      <w:marRight w:val="0"/>
      <w:marTop w:val="0"/>
      <w:marBottom w:val="0"/>
      <w:divBdr>
        <w:top w:val="none" w:sz="0" w:space="0" w:color="auto"/>
        <w:left w:val="none" w:sz="0" w:space="0" w:color="auto"/>
        <w:bottom w:val="none" w:sz="0" w:space="0" w:color="auto"/>
        <w:right w:val="none" w:sz="0" w:space="0" w:color="auto"/>
      </w:divBdr>
    </w:div>
    <w:div w:id="813763284">
      <w:bodyDiv w:val="1"/>
      <w:marLeft w:val="0"/>
      <w:marRight w:val="0"/>
      <w:marTop w:val="0"/>
      <w:marBottom w:val="0"/>
      <w:divBdr>
        <w:top w:val="none" w:sz="0" w:space="0" w:color="auto"/>
        <w:left w:val="none" w:sz="0" w:space="0" w:color="auto"/>
        <w:bottom w:val="none" w:sz="0" w:space="0" w:color="auto"/>
        <w:right w:val="none" w:sz="0" w:space="0" w:color="auto"/>
      </w:divBdr>
    </w:div>
    <w:div w:id="834878728">
      <w:bodyDiv w:val="1"/>
      <w:marLeft w:val="0"/>
      <w:marRight w:val="0"/>
      <w:marTop w:val="0"/>
      <w:marBottom w:val="0"/>
      <w:divBdr>
        <w:top w:val="none" w:sz="0" w:space="0" w:color="auto"/>
        <w:left w:val="none" w:sz="0" w:space="0" w:color="auto"/>
        <w:bottom w:val="none" w:sz="0" w:space="0" w:color="auto"/>
        <w:right w:val="none" w:sz="0" w:space="0" w:color="auto"/>
      </w:divBdr>
    </w:div>
    <w:div w:id="853769875">
      <w:bodyDiv w:val="1"/>
      <w:marLeft w:val="0"/>
      <w:marRight w:val="0"/>
      <w:marTop w:val="0"/>
      <w:marBottom w:val="0"/>
      <w:divBdr>
        <w:top w:val="none" w:sz="0" w:space="0" w:color="auto"/>
        <w:left w:val="none" w:sz="0" w:space="0" w:color="auto"/>
        <w:bottom w:val="none" w:sz="0" w:space="0" w:color="auto"/>
        <w:right w:val="none" w:sz="0" w:space="0" w:color="auto"/>
      </w:divBdr>
    </w:div>
    <w:div w:id="884177197">
      <w:bodyDiv w:val="1"/>
      <w:marLeft w:val="0"/>
      <w:marRight w:val="0"/>
      <w:marTop w:val="0"/>
      <w:marBottom w:val="0"/>
      <w:divBdr>
        <w:top w:val="none" w:sz="0" w:space="0" w:color="auto"/>
        <w:left w:val="none" w:sz="0" w:space="0" w:color="auto"/>
        <w:bottom w:val="none" w:sz="0" w:space="0" w:color="auto"/>
        <w:right w:val="none" w:sz="0" w:space="0" w:color="auto"/>
      </w:divBdr>
    </w:div>
    <w:div w:id="886260930">
      <w:bodyDiv w:val="1"/>
      <w:marLeft w:val="0"/>
      <w:marRight w:val="0"/>
      <w:marTop w:val="0"/>
      <w:marBottom w:val="0"/>
      <w:divBdr>
        <w:top w:val="none" w:sz="0" w:space="0" w:color="auto"/>
        <w:left w:val="none" w:sz="0" w:space="0" w:color="auto"/>
        <w:bottom w:val="none" w:sz="0" w:space="0" w:color="auto"/>
        <w:right w:val="none" w:sz="0" w:space="0" w:color="auto"/>
      </w:divBdr>
    </w:div>
    <w:div w:id="907157696">
      <w:bodyDiv w:val="1"/>
      <w:marLeft w:val="0"/>
      <w:marRight w:val="0"/>
      <w:marTop w:val="0"/>
      <w:marBottom w:val="0"/>
      <w:divBdr>
        <w:top w:val="none" w:sz="0" w:space="0" w:color="auto"/>
        <w:left w:val="none" w:sz="0" w:space="0" w:color="auto"/>
        <w:bottom w:val="none" w:sz="0" w:space="0" w:color="auto"/>
        <w:right w:val="none" w:sz="0" w:space="0" w:color="auto"/>
      </w:divBdr>
    </w:div>
    <w:div w:id="921641409">
      <w:bodyDiv w:val="1"/>
      <w:marLeft w:val="0"/>
      <w:marRight w:val="0"/>
      <w:marTop w:val="0"/>
      <w:marBottom w:val="0"/>
      <w:divBdr>
        <w:top w:val="none" w:sz="0" w:space="0" w:color="auto"/>
        <w:left w:val="none" w:sz="0" w:space="0" w:color="auto"/>
        <w:bottom w:val="none" w:sz="0" w:space="0" w:color="auto"/>
        <w:right w:val="none" w:sz="0" w:space="0" w:color="auto"/>
      </w:divBdr>
    </w:div>
    <w:div w:id="942569426">
      <w:bodyDiv w:val="1"/>
      <w:marLeft w:val="0"/>
      <w:marRight w:val="0"/>
      <w:marTop w:val="0"/>
      <w:marBottom w:val="0"/>
      <w:divBdr>
        <w:top w:val="none" w:sz="0" w:space="0" w:color="auto"/>
        <w:left w:val="none" w:sz="0" w:space="0" w:color="auto"/>
        <w:bottom w:val="none" w:sz="0" w:space="0" w:color="auto"/>
        <w:right w:val="none" w:sz="0" w:space="0" w:color="auto"/>
      </w:divBdr>
    </w:div>
    <w:div w:id="982194622">
      <w:bodyDiv w:val="1"/>
      <w:marLeft w:val="0"/>
      <w:marRight w:val="0"/>
      <w:marTop w:val="0"/>
      <w:marBottom w:val="0"/>
      <w:divBdr>
        <w:top w:val="none" w:sz="0" w:space="0" w:color="auto"/>
        <w:left w:val="none" w:sz="0" w:space="0" w:color="auto"/>
        <w:bottom w:val="none" w:sz="0" w:space="0" w:color="auto"/>
        <w:right w:val="none" w:sz="0" w:space="0" w:color="auto"/>
      </w:divBdr>
    </w:div>
    <w:div w:id="984120347">
      <w:bodyDiv w:val="1"/>
      <w:marLeft w:val="0"/>
      <w:marRight w:val="0"/>
      <w:marTop w:val="0"/>
      <w:marBottom w:val="0"/>
      <w:divBdr>
        <w:top w:val="none" w:sz="0" w:space="0" w:color="auto"/>
        <w:left w:val="none" w:sz="0" w:space="0" w:color="auto"/>
        <w:bottom w:val="none" w:sz="0" w:space="0" w:color="auto"/>
        <w:right w:val="none" w:sz="0" w:space="0" w:color="auto"/>
      </w:divBdr>
    </w:div>
    <w:div w:id="987052356">
      <w:bodyDiv w:val="1"/>
      <w:marLeft w:val="0"/>
      <w:marRight w:val="0"/>
      <w:marTop w:val="0"/>
      <w:marBottom w:val="0"/>
      <w:divBdr>
        <w:top w:val="none" w:sz="0" w:space="0" w:color="auto"/>
        <w:left w:val="none" w:sz="0" w:space="0" w:color="auto"/>
        <w:bottom w:val="none" w:sz="0" w:space="0" w:color="auto"/>
        <w:right w:val="none" w:sz="0" w:space="0" w:color="auto"/>
      </w:divBdr>
    </w:div>
    <w:div w:id="990134022">
      <w:bodyDiv w:val="1"/>
      <w:marLeft w:val="0"/>
      <w:marRight w:val="0"/>
      <w:marTop w:val="0"/>
      <w:marBottom w:val="0"/>
      <w:divBdr>
        <w:top w:val="none" w:sz="0" w:space="0" w:color="auto"/>
        <w:left w:val="none" w:sz="0" w:space="0" w:color="auto"/>
        <w:bottom w:val="none" w:sz="0" w:space="0" w:color="auto"/>
        <w:right w:val="none" w:sz="0" w:space="0" w:color="auto"/>
      </w:divBdr>
    </w:div>
    <w:div w:id="998115263">
      <w:bodyDiv w:val="1"/>
      <w:marLeft w:val="0"/>
      <w:marRight w:val="0"/>
      <w:marTop w:val="0"/>
      <w:marBottom w:val="0"/>
      <w:divBdr>
        <w:top w:val="none" w:sz="0" w:space="0" w:color="auto"/>
        <w:left w:val="none" w:sz="0" w:space="0" w:color="auto"/>
        <w:bottom w:val="none" w:sz="0" w:space="0" w:color="auto"/>
        <w:right w:val="none" w:sz="0" w:space="0" w:color="auto"/>
      </w:divBdr>
    </w:div>
    <w:div w:id="1000962617">
      <w:bodyDiv w:val="1"/>
      <w:marLeft w:val="0"/>
      <w:marRight w:val="0"/>
      <w:marTop w:val="0"/>
      <w:marBottom w:val="0"/>
      <w:divBdr>
        <w:top w:val="none" w:sz="0" w:space="0" w:color="auto"/>
        <w:left w:val="none" w:sz="0" w:space="0" w:color="auto"/>
        <w:bottom w:val="none" w:sz="0" w:space="0" w:color="auto"/>
        <w:right w:val="none" w:sz="0" w:space="0" w:color="auto"/>
      </w:divBdr>
    </w:div>
    <w:div w:id="1017387395">
      <w:bodyDiv w:val="1"/>
      <w:marLeft w:val="0"/>
      <w:marRight w:val="0"/>
      <w:marTop w:val="0"/>
      <w:marBottom w:val="0"/>
      <w:divBdr>
        <w:top w:val="none" w:sz="0" w:space="0" w:color="auto"/>
        <w:left w:val="none" w:sz="0" w:space="0" w:color="auto"/>
        <w:bottom w:val="none" w:sz="0" w:space="0" w:color="auto"/>
        <w:right w:val="none" w:sz="0" w:space="0" w:color="auto"/>
      </w:divBdr>
    </w:div>
    <w:div w:id="1020858413">
      <w:bodyDiv w:val="1"/>
      <w:marLeft w:val="0"/>
      <w:marRight w:val="0"/>
      <w:marTop w:val="0"/>
      <w:marBottom w:val="0"/>
      <w:divBdr>
        <w:top w:val="none" w:sz="0" w:space="0" w:color="auto"/>
        <w:left w:val="none" w:sz="0" w:space="0" w:color="auto"/>
        <w:bottom w:val="none" w:sz="0" w:space="0" w:color="auto"/>
        <w:right w:val="none" w:sz="0" w:space="0" w:color="auto"/>
      </w:divBdr>
    </w:div>
    <w:div w:id="1039474347">
      <w:bodyDiv w:val="1"/>
      <w:marLeft w:val="0"/>
      <w:marRight w:val="0"/>
      <w:marTop w:val="0"/>
      <w:marBottom w:val="0"/>
      <w:divBdr>
        <w:top w:val="none" w:sz="0" w:space="0" w:color="auto"/>
        <w:left w:val="none" w:sz="0" w:space="0" w:color="auto"/>
        <w:bottom w:val="none" w:sz="0" w:space="0" w:color="auto"/>
        <w:right w:val="none" w:sz="0" w:space="0" w:color="auto"/>
      </w:divBdr>
    </w:div>
    <w:div w:id="1046492093">
      <w:bodyDiv w:val="1"/>
      <w:marLeft w:val="0"/>
      <w:marRight w:val="0"/>
      <w:marTop w:val="0"/>
      <w:marBottom w:val="0"/>
      <w:divBdr>
        <w:top w:val="none" w:sz="0" w:space="0" w:color="auto"/>
        <w:left w:val="none" w:sz="0" w:space="0" w:color="auto"/>
        <w:bottom w:val="none" w:sz="0" w:space="0" w:color="auto"/>
        <w:right w:val="none" w:sz="0" w:space="0" w:color="auto"/>
      </w:divBdr>
    </w:div>
    <w:div w:id="1065371749">
      <w:bodyDiv w:val="1"/>
      <w:marLeft w:val="0"/>
      <w:marRight w:val="0"/>
      <w:marTop w:val="0"/>
      <w:marBottom w:val="0"/>
      <w:divBdr>
        <w:top w:val="none" w:sz="0" w:space="0" w:color="auto"/>
        <w:left w:val="none" w:sz="0" w:space="0" w:color="auto"/>
        <w:bottom w:val="none" w:sz="0" w:space="0" w:color="auto"/>
        <w:right w:val="none" w:sz="0" w:space="0" w:color="auto"/>
      </w:divBdr>
    </w:div>
    <w:div w:id="1088766969">
      <w:bodyDiv w:val="1"/>
      <w:marLeft w:val="0"/>
      <w:marRight w:val="0"/>
      <w:marTop w:val="0"/>
      <w:marBottom w:val="0"/>
      <w:divBdr>
        <w:top w:val="none" w:sz="0" w:space="0" w:color="auto"/>
        <w:left w:val="none" w:sz="0" w:space="0" w:color="auto"/>
        <w:bottom w:val="none" w:sz="0" w:space="0" w:color="auto"/>
        <w:right w:val="none" w:sz="0" w:space="0" w:color="auto"/>
      </w:divBdr>
    </w:div>
    <w:div w:id="1097335606">
      <w:bodyDiv w:val="1"/>
      <w:marLeft w:val="0"/>
      <w:marRight w:val="0"/>
      <w:marTop w:val="0"/>
      <w:marBottom w:val="0"/>
      <w:divBdr>
        <w:top w:val="none" w:sz="0" w:space="0" w:color="auto"/>
        <w:left w:val="none" w:sz="0" w:space="0" w:color="auto"/>
        <w:bottom w:val="none" w:sz="0" w:space="0" w:color="auto"/>
        <w:right w:val="none" w:sz="0" w:space="0" w:color="auto"/>
      </w:divBdr>
    </w:div>
    <w:div w:id="1098646378">
      <w:bodyDiv w:val="1"/>
      <w:marLeft w:val="0"/>
      <w:marRight w:val="0"/>
      <w:marTop w:val="0"/>
      <w:marBottom w:val="0"/>
      <w:divBdr>
        <w:top w:val="none" w:sz="0" w:space="0" w:color="auto"/>
        <w:left w:val="none" w:sz="0" w:space="0" w:color="auto"/>
        <w:bottom w:val="none" w:sz="0" w:space="0" w:color="auto"/>
        <w:right w:val="none" w:sz="0" w:space="0" w:color="auto"/>
      </w:divBdr>
    </w:div>
    <w:div w:id="1131509190">
      <w:bodyDiv w:val="1"/>
      <w:marLeft w:val="0"/>
      <w:marRight w:val="0"/>
      <w:marTop w:val="0"/>
      <w:marBottom w:val="0"/>
      <w:divBdr>
        <w:top w:val="none" w:sz="0" w:space="0" w:color="auto"/>
        <w:left w:val="none" w:sz="0" w:space="0" w:color="auto"/>
        <w:bottom w:val="none" w:sz="0" w:space="0" w:color="auto"/>
        <w:right w:val="none" w:sz="0" w:space="0" w:color="auto"/>
      </w:divBdr>
    </w:div>
    <w:div w:id="1144271525">
      <w:bodyDiv w:val="1"/>
      <w:marLeft w:val="0"/>
      <w:marRight w:val="0"/>
      <w:marTop w:val="0"/>
      <w:marBottom w:val="0"/>
      <w:divBdr>
        <w:top w:val="none" w:sz="0" w:space="0" w:color="auto"/>
        <w:left w:val="none" w:sz="0" w:space="0" w:color="auto"/>
        <w:bottom w:val="none" w:sz="0" w:space="0" w:color="auto"/>
        <w:right w:val="none" w:sz="0" w:space="0" w:color="auto"/>
      </w:divBdr>
    </w:div>
    <w:div w:id="1168473025">
      <w:bodyDiv w:val="1"/>
      <w:marLeft w:val="0"/>
      <w:marRight w:val="0"/>
      <w:marTop w:val="0"/>
      <w:marBottom w:val="0"/>
      <w:divBdr>
        <w:top w:val="none" w:sz="0" w:space="0" w:color="auto"/>
        <w:left w:val="none" w:sz="0" w:space="0" w:color="auto"/>
        <w:bottom w:val="none" w:sz="0" w:space="0" w:color="auto"/>
        <w:right w:val="none" w:sz="0" w:space="0" w:color="auto"/>
      </w:divBdr>
    </w:div>
    <w:div w:id="1180654327">
      <w:bodyDiv w:val="1"/>
      <w:marLeft w:val="0"/>
      <w:marRight w:val="0"/>
      <w:marTop w:val="0"/>
      <w:marBottom w:val="0"/>
      <w:divBdr>
        <w:top w:val="none" w:sz="0" w:space="0" w:color="auto"/>
        <w:left w:val="none" w:sz="0" w:space="0" w:color="auto"/>
        <w:bottom w:val="none" w:sz="0" w:space="0" w:color="auto"/>
        <w:right w:val="none" w:sz="0" w:space="0" w:color="auto"/>
      </w:divBdr>
    </w:div>
    <w:div w:id="1186287612">
      <w:bodyDiv w:val="1"/>
      <w:marLeft w:val="0"/>
      <w:marRight w:val="0"/>
      <w:marTop w:val="0"/>
      <w:marBottom w:val="0"/>
      <w:divBdr>
        <w:top w:val="none" w:sz="0" w:space="0" w:color="auto"/>
        <w:left w:val="none" w:sz="0" w:space="0" w:color="auto"/>
        <w:bottom w:val="none" w:sz="0" w:space="0" w:color="auto"/>
        <w:right w:val="none" w:sz="0" w:space="0" w:color="auto"/>
      </w:divBdr>
    </w:div>
    <w:div w:id="1201473221">
      <w:bodyDiv w:val="1"/>
      <w:marLeft w:val="0"/>
      <w:marRight w:val="0"/>
      <w:marTop w:val="0"/>
      <w:marBottom w:val="0"/>
      <w:divBdr>
        <w:top w:val="none" w:sz="0" w:space="0" w:color="auto"/>
        <w:left w:val="none" w:sz="0" w:space="0" w:color="auto"/>
        <w:bottom w:val="none" w:sz="0" w:space="0" w:color="auto"/>
        <w:right w:val="none" w:sz="0" w:space="0" w:color="auto"/>
      </w:divBdr>
    </w:div>
    <w:div w:id="1206409887">
      <w:bodyDiv w:val="1"/>
      <w:marLeft w:val="0"/>
      <w:marRight w:val="0"/>
      <w:marTop w:val="0"/>
      <w:marBottom w:val="0"/>
      <w:divBdr>
        <w:top w:val="none" w:sz="0" w:space="0" w:color="auto"/>
        <w:left w:val="none" w:sz="0" w:space="0" w:color="auto"/>
        <w:bottom w:val="none" w:sz="0" w:space="0" w:color="auto"/>
        <w:right w:val="none" w:sz="0" w:space="0" w:color="auto"/>
      </w:divBdr>
    </w:div>
    <w:div w:id="1294678300">
      <w:bodyDiv w:val="1"/>
      <w:marLeft w:val="0"/>
      <w:marRight w:val="0"/>
      <w:marTop w:val="0"/>
      <w:marBottom w:val="0"/>
      <w:divBdr>
        <w:top w:val="none" w:sz="0" w:space="0" w:color="auto"/>
        <w:left w:val="none" w:sz="0" w:space="0" w:color="auto"/>
        <w:bottom w:val="none" w:sz="0" w:space="0" w:color="auto"/>
        <w:right w:val="none" w:sz="0" w:space="0" w:color="auto"/>
      </w:divBdr>
    </w:div>
    <w:div w:id="1308586583">
      <w:bodyDiv w:val="1"/>
      <w:marLeft w:val="0"/>
      <w:marRight w:val="0"/>
      <w:marTop w:val="0"/>
      <w:marBottom w:val="0"/>
      <w:divBdr>
        <w:top w:val="none" w:sz="0" w:space="0" w:color="auto"/>
        <w:left w:val="none" w:sz="0" w:space="0" w:color="auto"/>
        <w:bottom w:val="none" w:sz="0" w:space="0" w:color="auto"/>
        <w:right w:val="none" w:sz="0" w:space="0" w:color="auto"/>
      </w:divBdr>
    </w:div>
    <w:div w:id="1310475535">
      <w:bodyDiv w:val="1"/>
      <w:marLeft w:val="0"/>
      <w:marRight w:val="0"/>
      <w:marTop w:val="0"/>
      <w:marBottom w:val="0"/>
      <w:divBdr>
        <w:top w:val="none" w:sz="0" w:space="0" w:color="auto"/>
        <w:left w:val="none" w:sz="0" w:space="0" w:color="auto"/>
        <w:bottom w:val="none" w:sz="0" w:space="0" w:color="auto"/>
        <w:right w:val="none" w:sz="0" w:space="0" w:color="auto"/>
      </w:divBdr>
    </w:div>
    <w:div w:id="1314140602">
      <w:bodyDiv w:val="1"/>
      <w:marLeft w:val="0"/>
      <w:marRight w:val="0"/>
      <w:marTop w:val="0"/>
      <w:marBottom w:val="0"/>
      <w:divBdr>
        <w:top w:val="none" w:sz="0" w:space="0" w:color="auto"/>
        <w:left w:val="none" w:sz="0" w:space="0" w:color="auto"/>
        <w:bottom w:val="none" w:sz="0" w:space="0" w:color="auto"/>
        <w:right w:val="none" w:sz="0" w:space="0" w:color="auto"/>
      </w:divBdr>
    </w:div>
    <w:div w:id="1322537409">
      <w:bodyDiv w:val="1"/>
      <w:marLeft w:val="0"/>
      <w:marRight w:val="0"/>
      <w:marTop w:val="0"/>
      <w:marBottom w:val="0"/>
      <w:divBdr>
        <w:top w:val="none" w:sz="0" w:space="0" w:color="auto"/>
        <w:left w:val="none" w:sz="0" w:space="0" w:color="auto"/>
        <w:bottom w:val="none" w:sz="0" w:space="0" w:color="auto"/>
        <w:right w:val="none" w:sz="0" w:space="0" w:color="auto"/>
      </w:divBdr>
    </w:div>
    <w:div w:id="1332564154">
      <w:bodyDiv w:val="1"/>
      <w:marLeft w:val="0"/>
      <w:marRight w:val="0"/>
      <w:marTop w:val="0"/>
      <w:marBottom w:val="0"/>
      <w:divBdr>
        <w:top w:val="none" w:sz="0" w:space="0" w:color="auto"/>
        <w:left w:val="none" w:sz="0" w:space="0" w:color="auto"/>
        <w:bottom w:val="none" w:sz="0" w:space="0" w:color="auto"/>
        <w:right w:val="none" w:sz="0" w:space="0" w:color="auto"/>
      </w:divBdr>
    </w:div>
    <w:div w:id="1351300316">
      <w:bodyDiv w:val="1"/>
      <w:marLeft w:val="0"/>
      <w:marRight w:val="0"/>
      <w:marTop w:val="0"/>
      <w:marBottom w:val="0"/>
      <w:divBdr>
        <w:top w:val="none" w:sz="0" w:space="0" w:color="auto"/>
        <w:left w:val="none" w:sz="0" w:space="0" w:color="auto"/>
        <w:bottom w:val="none" w:sz="0" w:space="0" w:color="auto"/>
        <w:right w:val="none" w:sz="0" w:space="0" w:color="auto"/>
      </w:divBdr>
    </w:div>
    <w:div w:id="1365061323">
      <w:bodyDiv w:val="1"/>
      <w:marLeft w:val="0"/>
      <w:marRight w:val="0"/>
      <w:marTop w:val="0"/>
      <w:marBottom w:val="0"/>
      <w:divBdr>
        <w:top w:val="none" w:sz="0" w:space="0" w:color="auto"/>
        <w:left w:val="none" w:sz="0" w:space="0" w:color="auto"/>
        <w:bottom w:val="none" w:sz="0" w:space="0" w:color="auto"/>
        <w:right w:val="none" w:sz="0" w:space="0" w:color="auto"/>
      </w:divBdr>
    </w:div>
    <w:div w:id="1365793253">
      <w:bodyDiv w:val="1"/>
      <w:marLeft w:val="0"/>
      <w:marRight w:val="0"/>
      <w:marTop w:val="0"/>
      <w:marBottom w:val="0"/>
      <w:divBdr>
        <w:top w:val="none" w:sz="0" w:space="0" w:color="auto"/>
        <w:left w:val="none" w:sz="0" w:space="0" w:color="auto"/>
        <w:bottom w:val="none" w:sz="0" w:space="0" w:color="auto"/>
        <w:right w:val="none" w:sz="0" w:space="0" w:color="auto"/>
      </w:divBdr>
    </w:div>
    <w:div w:id="1371805856">
      <w:bodyDiv w:val="1"/>
      <w:marLeft w:val="0"/>
      <w:marRight w:val="0"/>
      <w:marTop w:val="0"/>
      <w:marBottom w:val="0"/>
      <w:divBdr>
        <w:top w:val="none" w:sz="0" w:space="0" w:color="auto"/>
        <w:left w:val="none" w:sz="0" w:space="0" w:color="auto"/>
        <w:bottom w:val="none" w:sz="0" w:space="0" w:color="auto"/>
        <w:right w:val="none" w:sz="0" w:space="0" w:color="auto"/>
      </w:divBdr>
    </w:div>
    <w:div w:id="1377506538">
      <w:bodyDiv w:val="1"/>
      <w:marLeft w:val="0"/>
      <w:marRight w:val="0"/>
      <w:marTop w:val="0"/>
      <w:marBottom w:val="0"/>
      <w:divBdr>
        <w:top w:val="none" w:sz="0" w:space="0" w:color="auto"/>
        <w:left w:val="none" w:sz="0" w:space="0" w:color="auto"/>
        <w:bottom w:val="none" w:sz="0" w:space="0" w:color="auto"/>
        <w:right w:val="none" w:sz="0" w:space="0" w:color="auto"/>
      </w:divBdr>
    </w:div>
    <w:div w:id="1411846901">
      <w:bodyDiv w:val="1"/>
      <w:marLeft w:val="0"/>
      <w:marRight w:val="0"/>
      <w:marTop w:val="0"/>
      <w:marBottom w:val="0"/>
      <w:divBdr>
        <w:top w:val="none" w:sz="0" w:space="0" w:color="auto"/>
        <w:left w:val="none" w:sz="0" w:space="0" w:color="auto"/>
        <w:bottom w:val="none" w:sz="0" w:space="0" w:color="auto"/>
        <w:right w:val="none" w:sz="0" w:space="0" w:color="auto"/>
      </w:divBdr>
    </w:div>
    <w:div w:id="1414469180">
      <w:bodyDiv w:val="1"/>
      <w:marLeft w:val="0"/>
      <w:marRight w:val="0"/>
      <w:marTop w:val="0"/>
      <w:marBottom w:val="0"/>
      <w:divBdr>
        <w:top w:val="none" w:sz="0" w:space="0" w:color="auto"/>
        <w:left w:val="none" w:sz="0" w:space="0" w:color="auto"/>
        <w:bottom w:val="none" w:sz="0" w:space="0" w:color="auto"/>
        <w:right w:val="none" w:sz="0" w:space="0" w:color="auto"/>
      </w:divBdr>
    </w:div>
    <w:div w:id="1429543868">
      <w:bodyDiv w:val="1"/>
      <w:marLeft w:val="0"/>
      <w:marRight w:val="0"/>
      <w:marTop w:val="0"/>
      <w:marBottom w:val="0"/>
      <w:divBdr>
        <w:top w:val="none" w:sz="0" w:space="0" w:color="auto"/>
        <w:left w:val="none" w:sz="0" w:space="0" w:color="auto"/>
        <w:bottom w:val="none" w:sz="0" w:space="0" w:color="auto"/>
        <w:right w:val="none" w:sz="0" w:space="0" w:color="auto"/>
      </w:divBdr>
    </w:div>
    <w:div w:id="1446345582">
      <w:bodyDiv w:val="1"/>
      <w:marLeft w:val="0"/>
      <w:marRight w:val="0"/>
      <w:marTop w:val="0"/>
      <w:marBottom w:val="0"/>
      <w:divBdr>
        <w:top w:val="none" w:sz="0" w:space="0" w:color="auto"/>
        <w:left w:val="none" w:sz="0" w:space="0" w:color="auto"/>
        <w:bottom w:val="none" w:sz="0" w:space="0" w:color="auto"/>
        <w:right w:val="none" w:sz="0" w:space="0" w:color="auto"/>
      </w:divBdr>
    </w:div>
    <w:div w:id="1452356151">
      <w:bodyDiv w:val="1"/>
      <w:marLeft w:val="0"/>
      <w:marRight w:val="0"/>
      <w:marTop w:val="0"/>
      <w:marBottom w:val="0"/>
      <w:divBdr>
        <w:top w:val="none" w:sz="0" w:space="0" w:color="auto"/>
        <w:left w:val="none" w:sz="0" w:space="0" w:color="auto"/>
        <w:bottom w:val="none" w:sz="0" w:space="0" w:color="auto"/>
        <w:right w:val="none" w:sz="0" w:space="0" w:color="auto"/>
      </w:divBdr>
    </w:div>
    <w:div w:id="1461026261">
      <w:bodyDiv w:val="1"/>
      <w:marLeft w:val="0"/>
      <w:marRight w:val="0"/>
      <w:marTop w:val="0"/>
      <w:marBottom w:val="0"/>
      <w:divBdr>
        <w:top w:val="none" w:sz="0" w:space="0" w:color="auto"/>
        <w:left w:val="none" w:sz="0" w:space="0" w:color="auto"/>
        <w:bottom w:val="none" w:sz="0" w:space="0" w:color="auto"/>
        <w:right w:val="none" w:sz="0" w:space="0" w:color="auto"/>
      </w:divBdr>
    </w:div>
    <w:div w:id="1474910154">
      <w:bodyDiv w:val="1"/>
      <w:marLeft w:val="0"/>
      <w:marRight w:val="0"/>
      <w:marTop w:val="0"/>
      <w:marBottom w:val="0"/>
      <w:divBdr>
        <w:top w:val="none" w:sz="0" w:space="0" w:color="auto"/>
        <w:left w:val="none" w:sz="0" w:space="0" w:color="auto"/>
        <w:bottom w:val="none" w:sz="0" w:space="0" w:color="auto"/>
        <w:right w:val="none" w:sz="0" w:space="0" w:color="auto"/>
      </w:divBdr>
    </w:div>
    <w:div w:id="1496647157">
      <w:bodyDiv w:val="1"/>
      <w:marLeft w:val="0"/>
      <w:marRight w:val="0"/>
      <w:marTop w:val="0"/>
      <w:marBottom w:val="0"/>
      <w:divBdr>
        <w:top w:val="none" w:sz="0" w:space="0" w:color="auto"/>
        <w:left w:val="none" w:sz="0" w:space="0" w:color="auto"/>
        <w:bottom w:val="none" w:sz="0" w:space="0" w:color="auto"/>
        <w:right w:val="none" w:sz="0" w:space="0" w:color="auto"/>
      </w:divBdr>
    </w:div>
    <w:div w:id="1498301902">
      <w:bodyDiv w:val="1"/>
      <w:marLeft w:val="0"/>
      <w:marRight w:val="0"/>
      <w:marTop w:val="0"/>
      <w:marBottom w:val="0"/>
      <w:divBdr>
        <w:top w:val="none" w:sz="0" w:space="0" w:color="auto"/>
        <w:left w:val="none" w:sz="0" w:space="0" w:color="auto"/>
        <w:bottom w:val="none" w:sz="0" w:space="0" w:color="auto"/>
        <w:right w:val="none" w:sz="0" w:space="0" w:color="auto"/>
      </w:divBdr>
    </w:div>
    <w:div w:id="1500923497">
      <w:bodyDiv w:val="1"/>
      <w:marLeft w:val="0"/>
      <w:marRight w:val="0"/>
      <w:marTop w:val="0"/>
      <w:marBottom w:val="0"/>
      <w:divBdr>
        <w:top w:val="none" w:sz="0" w:space="0" w:color="auto"/>
        <w:left w:val="none" w:sz="0" w:space="0" w:color="auto"/>
        <w:bottom w:val="none" w:sz="0" w:space="0" w:color="auto"/>
        <w:right w:val="none" w:sz="0" w:space="0" w:color="auto"/>
      </w:divBdr>
    </w:div>
    <w:div w:id="1531406991">
      <w:bodyDiv w:val="1"/>
      <w:marLeft w:val="0"/>
      <w:marRight w:val="0"/>
      <w:marTop w:val="0"/>
      <w:marBottom w:val="0"/>
      <w:divBdr>
        <w:top w:val="none" w:sz="0" w:space="0" w:color="auto"/>
        <w:left w:val="none" w:sz="0" w:space="0" w:color="auto"/>
        <w:bottom w:val="none" w:sz="0" w:space="0" w:color="auto"/>
        <w:right w:val="none" w:sz="0" w:space="0" w:color="auto"/>
      </w:divBdr>
    </w:div>
    <w:div w:id="1558397984">
      <w:bodyDiv w:val="1"/>
      <w:marLeft w:val="0"/>
      <w:marRight w:val="0"/>
      <w:marTop w:val="0"/>
      <w:marBottom w:val="0"/>
      <w:divBdr>
        <w:top w:val="none" w:sz="0" w:space="0" w:color="auto"/>
        <w:left w:val="none" w:sz="0" w:space="0" w:color="auto"/>
        <w:bottom w:val="none" w:sz="0" w:space="0" w:color="auto"/>
        <w:right w:val="none" w:sz="0" w:space="0" w:color="auto"/>
      </w:divBdr>
    </w:div>
    <w:div w:id="1562251665">
      <w:bodyDiv w:val="1"/>
      <w:marLeft w:val="0"/>
      <w:marRight w:val="0"/>
      <w:marTop w:val="0"/>
      <w:marBottom w:val="0"/>
      <w:divBdr>
        <w:top w:val="none" w:sz="0" w:space="0" w:color="auto"/>
        <w:left w:val="none" w:sz="0" w:space="0" w:color="auto"/>
        <w:bottom w:val="none" w:sz="0" w:space="0" w:color="auto"/>
        <w:right w:val="none" w:sz="0" w:space="0" w:color="auto"/>
      </w:divBdr>
    </w:div>
    <w:div w:id="1566187769">
      <w:bodyDiv w:val="1"/>
      <w:marLeft w:val="0"/>
      <w:marRight w:val="0"/>
      <w:marTop w:val="0"/>
      <w:marBottom w:val="0"/>
      <w:divBdr>
        <w:top w:val="none" w:sz="0" w:space="0" w:color="auto"/>
        <w:left w:val="none" w:sz="0" w:space="0" w:color="auto"/>
        <w:bottom w:val="none" w:sz="0" w:space="0" w:color="auto"/>
        <w:right w:val="none" w:sz="0" w:space="0" w:color="auto"/>
      </w:divBdr>
    </w:div>
    <w:div w:id="1576470830">
      <w:bodyDiv w:val="1"/>
      <w:marLeft w:val="0"/>
      <w:marRight w:val="0"/>
      <w:marTop w:val="0"/>
      <w:marBottom w:val="0"/>
      <w:divBdr>
        <w:top w:val="none" w:sz="0" w:space="0" w:color="auto"/>
        <w:left w:val="none" w:sz="0" w:space="0" w:color="auto"/>
        <w:bottom w:val="none" w:sz="0" w:space="0" w:color="auto"/>
        <w:right w:val="none" w:sz="0" w:space="0" w:color="auto"/>
      </w:divBdr>
    </w:div>
    <w:div w:id="1589346064">
      <w:bodyDiv w:val="1"/>
      <w:marLeft w:val="0"/>
      <w:marRight w:val="0"/>
      <w:marTop w:val="0"/>
      <w:marBottom w:val="0"/>
      <w:divBdr>
        <w:top w:val="none" w:sz="0" w:space="0" w:color="auto"/>
        <w:left w:val="none" w:sz="0" w:space="0" w:color="auto"/>
        <w:bottom w:val="none" w:sz="0" w:space="0" w:color="auto"/>
        <w:right w:val="none" w:sz="0" w:space="0" w:color="auto"/>
      </w:divBdr>
    </w:div>
    <w:div w:id="1601453699">
      <w:bodyDiv w:val="1"/>
      <w:marLeft w:val="0"/>
      <w:marRight w:val="0"/>
      <w:marTop w:val="0"/>
      <w:marBottom w:val="0"/>
      <w:divBdr>
        <w:top w:val="none" w:sz="0" w:space="0" w:color="auto"/>
        <w:left w:val="none" w:sz="0" w:space="0" w:color="auto"/>
        <w:bottom w:val="none" w:sz="0" w:space="0" w:color="auto"/>
        <w:right w:val="none" w:sz="0" w:space="0" w:color="auto"/>
      </w:divBdr>
    </w:div>
    <w:div w:id="1613510190">
      <w:bodyDiv w:val="1"/>
      <w:marLeft w:val="0"/>
      <w:marRight w:val="0"/>
      <w:marTop w:val="0"/>
      <w:marBottom w:val="0"/>
      <w:divBdr>
        <w:top w:val="none" w:sz="0" w:space="0" w:color="auto"/>
        <w:left w:val="none" w:sz="0" w:space="0" w:color="auto"/>
        <w:bottom w:val="none" w:sz="0" w:space="0" w:color="auto"/>
        <w:right w:val="none" w:sz="0" w:space="0" w:color="auto"/>
      </w:divBdr>
    </w:div>
    <w:div w:id="1630161270">
      <w:bodyDiv w:val="1"/>
      <w:marLeft w:val="0"/>
      <w:marRight w:val="0"/>
      <w:marTop w:val="0"/>
      <w:marBottom w:val="0"/>
      <w:divBdr>
        <w:top w:val="none" w:sz="0" w:space="0" w:color="auto"/>
        <w:left w:val="none" w:sz="0" w:space="0" w:color="auto"/>
        <w:bottom w:val="none" w:sz="0" w:space="0" w:color="auto"/>
        <w:right w:val="none" w:sz="0" w:space="0" w:color="auto"/>
      </w:divBdr>
    </w:div>
    <w:div w:id="1639261701">
      <w:bodyDiv w:val="1"/>
      <w:marLeft w:val="0"/>
      <w:marRight w:val="0"/>
      <w:marTop w:val="0"/>
      <w:marBottom w:val="0"/>
      <w:divBdr>
        <w:top w:val="none" w:sz="0" w:space="0" w:color="auto"/>
        <w:left w:val="none" w:sz="0" w:space="0" w:color="auto"/>
        <w:bottom w:val="none" w:sz="0" w:space="0" w:color="auto"/>
        <w:right w:val="none" w:sz="0" w:space="0" w:color="auto"/>
      </w:divBdr>
    </w:div>
    <w:div w:id="1646814538">
      <w:bodyDiv w:val="1"/>
      <w:marLeft w:val="0"/>
      <w:marRight w:val="0"/>
      <w:marTop w:val="0"/>
      <w:marBottom w:val="0"/>
      <w:divBdr>
        <w:top w:val="none" w:sz="0" w:space="0" w:color="auto"/>
        <w:left w:val="none" w:sz="0" w:space="0" w:color="auto"/>
        <w:bottom w:val="none" w:sz="0" w:space="0" w:color="auto"/>
        <w:right w:val="none" w:sz="0" w:space="0" w:color="auto"/>
      </w:divBdr>
    </w:div>
    <w:div w:id="1673335753">
      <w:bodyDiv w:val="1"/>
      <w:marLeft w:val="0"/>
      <w:marRight w:val="0"/>
      <w:marTop w:val="0"/>
      <w:marBottom w:val="0"/>
      <w:divBdr>
        <w:top w:val="none" w:sz="0" w:space="0" w:color="auto"/>
        <w:left w:val="none" w:sz="0" w:space="0" w:color="auto"/>
        <w:bottom w:val="none" w:sz="0" w:space="0" w:color="auto"/>
        <w:right w:val="none" w:sz="0" w:space="0" w:color="auto"/>
      </w:divBdr>
    </w:div>
    <w:div w:id="1686247952">
      <w:bodyDiv w:val="1"/>
      <w:marLeft w:val="0"/>
      <w:marRight w:val="0"/>
      <w:marTop w:val="0"/>
      <w:marBottom w:val="0"/>
      <w:divBdr>
        <w:top w:val="none" w:sz="0" w:space="0" w:color="auto"/>
        <w:left w:val="none" w:sz="0" w:space="0" w:color="auto"/>
        <w:bottom w:val="none" w:sz="0" w:space="0" w:color="auto"/>
        <w:right w:val="none" w:sz="0" w:space="0" w:color="auto"/>
      </w:divBdr>
    </w:div>
    <w:div w:id="1698189119">
      <w:bodyDiv w:val="1"/>
      <w:marLeft w:val="0"/>
      <w:marRight w:val="0"/>
      <w:marTop w:val="0"/>
      <w:marBottom w:val="0"/>
      <w:divBdr>
        <w:top w:val="none" w:sz="0" w:space="0" w:color="auto"/>
        <w:left w:val="none" w:sz="0" w:space="0" w:color="auto"/>
        <w:bottom w:val="none" w:sz="0" w:space="0" w:color="auto"/>
        <w:right w:val="none" w:sz="0" w:space="0" w:color="auto"/>
      </w:divBdr>
    </w:div>
    <w:div w:id="1699307894">
      <w:bodyDiv w:val="1"/>
      <w:marLeft w:val="0"/>
      <w:marRight w:val="0"/>
      <w:marTop w:val="0"/>
      <w:marBottom w:val="0"/>
      <w:divBdr>
        <w:top w:val="none" w:sz="0" w:space="0" w:color="auto"/>
        <w:left w:val="none" w:sz="0" w:space="0" w:color="auto"/>
        <w:bottom w:val="none" w:sz="0" w:space="0" w:color="auto"/>
        <w:right w:val="none" w:sz="0" w:space="0" w:color="auto"/>
      </w:divBdr>
    </w:div>
    <w:div w:id="1746957283">
      <w:bodyDiv w:val="1"/>
      <w:marLeft w:val="0"/>
      <w:marRight w:val="0"/>
      <w:marTop w:val="0"/>
      <w:marBottom w:val="0"/>
      <w:divBdr>
        <w:top w:val="none" w:sz="0" w:space="0" w:color="auto"/>
        <w:left w:val="none" w:sz="0" w:space="0" w:color="auto"/>
        <w:bottom w:val="none" w:sz="0" w:space="0" w:color="auto"/>
        <w:right w:val="none" w:sz="0" w:space="0" w:color="auto"/>
      </w:divBdr>
    </w:div>
    <w:div w:id="1750737301">
      <w:bodyDiv w:val="1"/>
      <w:marLeft w:val="0"/>
      <w:marRight w:val="0"/>
      <w:marTop w:val="0"/>
      <w:marBottom w:val="0"/>
      <w:divBdr>
        <w:top w:val="none" w:sz="0" w:space="0" w:color="auto"/>
        <w:left w:val="none" w:sz="0" w:space="0" w:color="auto"/>
        <w:bottom w:val="none" w:sz="0" w:space="0" w:color="auto"/>
        <w:right w:val="none" w:sz="0" w:space="0" w:color="auto"/>
      </w:divBdr>
    </w:div>
    <w:div w:id="1756169208">
      <w:bodyDiv w:val="1"/>
      <w:marLeft w:val="0"/>
      <w:marRight w:val="0"/>
      <w:marTop w:val="0"/>
      <w:marBottom w:val="0"/>
      <w:divBdr>
        <w:top w:val="none" w:sz="0" w:space="0" w:color="auto"/>
        <w:left w:val="none" w:sz="0" w:space="0" w:color="auto"/>
        <w:bottom w:val="none" w:sz="0" w:space="0" w:color="auto"/>
        <w:right w:val="none" w:sz="0" w:space="0" w:color="auto"/>
      </w:divBdr>
    </w:div>
    <w:div w:id="1793741379">
      <w:bodyDiv w:val="1"/>
      <w:marLeft w:val="0"/>
      <w:marRight w:val="0"/>
      <w:marTop w:val="0"/>
      <w:marBottom w:val="0"/>
      <w:divBdr>
        <w:top w:val="none" w:sz="0" w:space="0" w:color="auto"/>
        <w:left w:val="none" w:sz="0" w:space="0" w:color="auto"/>
        <w:bottom w:val="none" w:sz="0" w:space="0" w:color="auto"/>
        <w:right w:val="none" w:sz="0" w:space="0" w:color="auto"/>
      </w:divBdr>
    </w:div>
    <w:div w:id="1797286025">
      <w:bodyDiv w:val="1"/>
      <w:marLeft w:val="0"/>
      <w:marRight w:val="0"/>
      <w:marTop w:val="0"/>
      <w:marBottom w:val="0"/>
      <w:divBdr>
        <w:top w:val="none" w:sz="0" w:space="0" w:color="auto"/>
        <w:left w:val="none" w:sz="0" w:space="0" w:color="auto"/>
        <w:bottom w:val="none" w:sz="0" w:space="0" w:color="auto"/>
        <w:right w:val="none" w:sz="0" w:space="0" w:color="auto"/>
      </w:divBdr>
    </w:div>
    <w:div w:id="1810245289">
      <w:bodyDiv w:val="1"/>
      <w:marLeft w:val="0"/>
      <w:marRight w:val="0"/>
      <w:marTop w:val="0"/>
      <w:marBottom w:val="0"/>
      <w:divBdr>
        <w:top w:val="none" w:sz="0" w:space="0" w:color="auto"/>
        <w:left w:val="none" w:sz="0" w:space="0" w:color="auto"/>
        <w:bottom w:val="none" w:sz="0" w:space="0" w:color="auto"/>
        <w:right w:val="none" w:sz="0" w:space="0" w:color="auto"/>
      </w:divBdr>
    </w:div>
    <w:div w:id="1850606859">
      <w:bodyDiv w:val="1"/>
      <w:marLeft w:val="0"/>
      <w:marRight w:val="0"/>
      <w:marTop w:val="0"/>
      <w:marBottom w:val="0"/>
      <w:divBdr>
        <w:top w:val="none" w:sz="0" w:space="0" w:color="auto"/>
        <w:left w:val="none" w:sz="0" w:space="0" w:color="auto"/>
        <w:bottom w:val="none" w:sz="0" w:space="0" w:color="auto"/>
        <w:right w:val="none" w:sz="0" w:space="0" w:color="auto"/>
      </w:divBdr>
    </w:div>
    <w:div w:id="1865945235">
      <w:bodyDiv w:val="1"/>
      <w:marLeft w:val="0"/>
      <w:marRight w:val="0"/>
      <w:marTop w:val="0"/>
      <w:marBottom w:val="0"/>
      <w:divBdr>
        <w:top w:val="none" w:sz="0" w:space="0" w:color="auto"/>
        <w:left w:val="none" w:sz="0" w:space="0" w:color="auto"/>
        <w:bottom w:val="none" w:sz="0" w:space="0" w:color="auto"/>
        <w:right w:val="none" w:sz="0" w:space="0" w:color="auto"/>
      </w:divBdr>
    </w:div>
    <w:div w:id="1869414654">
      <w:bodyDiv w:val="1"/>
      <w:marLeft w:val="0"/>
      <w:marRight w:val="0"/>
      <w:marTop w:val="0"/>
      <w:marBottom w:val="0"/>
      <w:divBdr>
        <w:top w:val="none" w:sz="0" w:space="0" w:color="auto"/>
        <w:left w:val="none" w:sz="0" w:space="0" w:color="auto"/>
        <w:bottom w:val="none" w:sz="0" w:space="0" w:color="auto"/>
        <w:right w:val="none" w:sz="0" w:space="0" w:color="auto"/>
      </w:divBdr>
    </w:div>
    <w:div w:id="1870793585">
      <w:bodyDiv w:val="1"/>
      <w:marLeft w:val="0"/>
      <w:marRight w:val="0"/>
      <w:marTop w:val="0"/>
      <w:marBottom w:val="0"/>
      <w:divBdr>
        <w:top w:val="none" w:sz="0" w:space="0" w:color="auto"/>
        <w:left w:val="none" w:sz="0" w:space="0" w:color="auto"/>
        <w:bottom w:val="none" w:sz="0" w:space="0" w:color="auto"/>
        <w:right w:val="none" w:sz="0" w:space="0" w:color="auto"/>
      </w:divBdr>
    </w:div>
    <w:div w:id="1871382661">
      <w:bodyDiv w:val="1"/>
      <w:marLeft w:val="0"/>
      <w:marRight w:val="0"/>
      <w:marTop w:val="0"/>
      <w:marBottom w:val="0"/>
      <w:divBdr>
        <w:top w:val="none" w:sz="0" w:space="0" w:color="auto"/>
        <w:left w:val="none" w:sz="0" w:space="0" w:color="auto"/>
        <w:bottom w:val="none" w:sz="0" w:space="0" w:color="auto"/>
        <w:right w:val="none" w:sz="0" w:space="0" w:color="auto"/>
      </w:divBdr>
    </w:div>
    <w:div w:id="1876381126">
      <w:bodyDiv w:val="1"/>
      <w:marLeft w:val="0"/>
      <w:marRight w:val="0"/>
      <w:marTop w:val="0"/>
      <w:marBottom w:val="0"/>
      <w:divBdr>
        <w:top w:val="none" w:sz="0" w:space="0" w:color="auto"/>
        <w:left w:val="none" w:sz="0" w:space="0" w:color="auto"/>
        <w:bottom w:val="none" w:sz="0" w:space="0" w:color="auto"/>
        <w:right w:val="none" w:sz="0" w:space="0" w:color="auto"/>
      </w:divBdr>
    </w:div>
    <w:div w:id="1884902432">
      <w:bodyDiv w:val="1"/>
      <w:marLeft w:val="0"/>
      <w:marRight w:val="0"/>
      <w:marTop w:val="0"/>
      <w:marBottom w:val="0"/>
      <w:divBdr>
        <w:top w:val="none" w:sz="0" w:space="0" w:color="auto"/>
        <w:left w:val="none" w:sz="0" w:space="0" w:color="auto"/>
        <w:bottom w:val="none" w:sz="0" w:space="0" w:color="auto"/>
        <w:right w:val="none" w:sz="0" w:space="0" w:color="auto"/>
      </w:divBdr>
    </w:div>
    <w:div w:id="1886018303">
      <w:bodyDiv w:val="1"/>
      <w:marLeft w:val="0"/>
      <w:marRight w:val="0"/>
      <w:marTop w:val="0"/>
      <w:marBottom w:val="0"/>
      <w:divBdr>
        <w:top w:val="none" w:sz="0" w:space="0" w:color="auto"/>
        <w:left w:val="none" w:sz="0" w:space="0" w:color="auto"/>
        <w:bottom w:val="none" w:sz="0" w:space="0" w:color="auto"/>
        <w:right w:val="none" w:sz="0" w:space="0" w:color="auto"/>
      </w:divBdr>
    </w:div>
    <w:div w:id="1888030827">
      <w:bodyDiv w:val="1"/>
      <w:marLeft w:val="0"/>
      <w:marRight w:val="0"/>
      <w:marTop w:val="0"/>
      <w:marBottom w:val="0"/>
      <w:divBdr>
        <w:top w:val="none" w:sz="0" w:space="0" w:color="auto"/>
        <w:left w:val="none" w:sz="0" w:space="0" w:color="auto"/>
        <w:bottom w:val="none" w:sz="0" w:space="0" w:color="auto"/>
        <w:right w:val="none" w:sz="0" w:space="0" w:color="auto"/>
      </w:divBdr>
    </w:div>
    <w:div w:id="1893540756">
      <w:bodyDiv w:val="1"/>
      <w:marLeft w:val="0"/>
      <w:marRight w:val="0"/>
      <w:marTop w:val="0"/>
      <w:marBottom w:val="0"/>
      <w:divBdr>
        <w:top w:val="none" w:sz="0" w:space="0" w:color="auto"/>
        <w:left w:val="none" w:sz="0" w:space="0" w:color="auto"/>
        <w:bottom w:val="none" w:sz="0" w:space="0" w:color="auto"/>
        <w:right w:val="none" w:sz="0" w:space="0" w:color="auto"/>
      </w:divBdr>
    </w:div>
    <w:div w:id="1899591699">
      <w:bodyDiv w:val="1"/>
      <w:marLeft w:val="0"/>
      <w:marRight w:val="0"/>
      <w:marTop w:val="0"/>
      <w:marBottom w:val="0"/>
      <w:divBdr>
        <w:top w:val="none" w:sz="0" w:space="0" w:color="auto"/>
        <w:left w:val="none" w:sz="0" w:space="0" w:color="auto"/>
        <w:bottom w:val="none" w:sz="0" w:space="0" w:color="auto"/>
        <w:right w:val="none" w:sz="0" w:space="0" w:color="auto"/>
      </w:divBdr>
    </w:div>
    <w:div w:id="1907104562">
      <w:bodyDiv w:val="1"/>
      <w:marLeft w:val="0"/>
      <w:marRight w:val="0"/>
      <w:marTop w:val="0"/>
      <w:marBottom w:val="0"/>
      <w:divBdr>
        <w:top w:val="none" w:sz="0" w:space="0" w:color="auto"/>
        <w:left w:val="none" w:sz="0" w:space="0" w:color="auto"/>
        <w:bottom w:val="none" w:sz="0" w:space="0" w:color="auto"/>
        <w:right w:val="none" w:sz="0" w:space="0" w:color="auto"/>
      </w:divBdr>
    </w:div>
    <w:div w:id="1909270222">
      <w:bodyDiv w:val="1"/>
      <w:marLeft w:val="0"/>
      <w:marRight w:val="0"/>
      <w:marTop w:val="0"/>
      <w:marBottom w:val="0"/>
      <w:divBdr>
        <w:top w:val="none" w:sz="0" w:space="0" w:color="auto"/>
        <w:left w:val="none" w:sz="0" w:space="0" w:color="auto"/>
        <w:bottom w:val="none" w:sz="0" w:space="0" w:color="auto"/>
        <w:right w:val="none" w:sz="0" w:space="0" w:color="auto"/>
      </w:divBdr>
    </w:div>
    <w:div w:id="1909412041">
      <w:bodyDiv w:val="1"/>
      <w:marLeft w:val="0"/>
      <w:marRight w:val="0"/>
      <w:marTop w:val="0"/>
      <w:marBottom w:val="0"/>
      <w:divBdr>
        <w:top w:val="none" w:sz="0" w:space="0" w:color="auto"/>
        <w:left w:val="none" w:sz="0" w:space="0" w:color="auto"/>
        <w:bottom w:val="none" w:sz="0" w:space="0" w:color="auto"/>
        <w:right w:val="none" w:sz="0" w:space="0" w:color="auto"/>
      </w:divBdr>
    </w:div>
    <w:div w:id="1917014202">
      <w:bodyDiv w:val="1"/>
      <w:marLeft w:val="0"/>
      <w:marRight w:val="0"/>
      <w:marTop w:val="0"/>
      <w:marBottom w:val="0"/>
      <w:divBdr>
        <w:top w:val="none" w:sz="0" w:space="0" w:color="auto"/>
        <w:left w:val="none" w:sz="0" w:space="0" w:color="auto"/>
        <w:bottom w:val="none" w:sz="0" w:space="0" w:color="auto"/>
        <w:right w:val="none" w:sz="0" w:space="0" w:color="auto"/>
      </w:divBdr>
    </w:div>
    <w:div w:id="1919173353">
      <w:bodyDiv w:val="1"/>
      <w:marLeft w:val="0"/>
      <w:marRight w:val="0"/>
      <w:marTop w:val="0"/>
      <w:marBottom w:val="0"/>
      <w:divBdr>
        <w:top w:val="none" w:sz="0" w:space="0" w:color="auto"/>
        <w:left w:val="none" w:sz="0" w:space="0" w:color="auto"/>
        <w:bottom w:val="none" w:sz="0" w:space="0" w:color="auto"/>
        <w:right w:val="none" w:sz="0" w:space="0" w:color="auto"/>
      </w:divBdr>
    </w:div>
    <w:div w:id="1928296862">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40135201">
      <w:bodyDiv w:val="1"/>
      <w:marLeft w:val="0"/>
      <w:marRight w:val="0"/>
      <w:marTop w:val="0"/>
      <w:marBottom w:val="0"/>
      <w:divBdr>
        <w:top w:val="none" w:sz="0" w:space="0" w:color="auto"/>
        <w:left w:val="none" w:sz="0" w:space="0" w:color="auto"/>
        <w:bottom w:val="none" w:sz="0" w:space="0" w:color="auto"/>
        <w:right w:val="none" w:sz="0" w:space="0" w:color="auto"/>
      </w:divBdr>
    </w:div>
    <w:div w:id="1941058244">
      <w:bodyDiv w:val="1"/>
      <w:marLeft w:val="0"/>
      <w:marRight w:val="0"/>
      <w:marTop w:val="0"/>
      <w:marBottom w:val="0"/>
      <w:divBdr>
        <w:top w:val="none" w:sz="0" w:space="0" w:color="auto"/>
        <w:left w:val="none" w:sz="0" w:space="0" w:color="auto"/>
        <w:bottom w:val="none" w:sz="0" w:space="0" w:color="auto"/>
        <w:right w:val="none" w:sz="0" w:space="0" w:color="auto"/>
      </w:divBdr>
    </w:div>
    <w:div w:id="1944145697">
      <w:bodyDiv w:val="1"/>
      <w:marLeft w:val="0"/>
      <w:marRight w:val="0"/>
      <w:marTop w:val="0"/>
      <w:marBottom w:val="0"/>
      <w:divBdr>
        <w:top w:val="none" w:sz="0" w:space="0" w:color="auto"/>
        <w:left w:val="none" w:sz="0" w:space="0" w:color="auto"/>
        <w:bottom w:val="none" w:sz="0" w:space="0" w:color="auto"/>
        <w:right w:val="none" w:sz="0" w:space="0" w:color="auto"/>
      </w:divBdr>
    </w:div>
    <w:div w:id="1949698104">
      <w:bodyDiv w:val="1"/>
      <w:marLeft w:val="0"/>
      <w:marRight w:val="0"/>
      <w:marTop w:val="0"/>
      <w:marBottom w:val="0"/>
      <w:divBdr>
        <w:top w:val="none" w:sz="0" w:space="0" w:color="auto"/>
        <w:left w:val="none" w:sz="0" w:space="0" w:color="auto"/>
        <w:bottom w:val="none" w:sz="0" w:space="0" w:color="auto"/>
        <w:right w:val="none" w:sz="0" w:space="0" w:color="auto"/>
      </w:divBdr>
    </w:div>
    <w:div w:id="1951735797">
      <w:bodyDiv w:val="1"/>
      <w:marLeft w:val="0"/>
      <w:marRight w:val="0"/>
      <w:marTop w:val="0"/>
      <w:marBottom w:val="0"/>
      <w:divBdr>
        <w:top w:val="none" w:sz="0" w:space="0" w:color="auto"/>
        <w:left w:val="none" w:sz="0" w:space="0" w:color="auto"/>
        <w:bottom w:val="none" w:sz="0" w:space="0" w:color="auto"/>
        <w:right w:val="none" w:sz="0" w:space="0" w:color="auto"/>
      </w:divBdr>
    </w:div>
    <w:div w:id="1958903390">
      <w:bodyDiv w:val="1"/>
      <w:marLeft w:val="0"/>
      <w:marRight w:val="0"/>
      <w:marTop w:val="0"/>
      <w:marBottom w:val="0"/>
      <w:divBdr>
        <w:top w:val="none" w:sz="0" w:space="0" w:color="auto"/>
        <w:left w:val="none" w:sz="0" w:space="0" w:color="auto"/>
        <w:bottom w:val="none" w:sz="0" w:space="0" w:color="auto"/>
        <w:right w:val="none" w:sz="0" w:space="0" w:color="auto"/>
      </w:divBdr>
    </w:div>
    <w:div w:id="1972786089">
      <w:bodyDiv w:val="1"/>
      <w:marLeft w:val="0"/>
      <w:marRight w:val="0"/>
      <w:marTop w:val="0"/>
      <w:marBottom w:val="0"/>
      <w:divBdr>
        <w:top w:val="none" w:sz="0" w:space="0" w:color="auto"/>
        <w:left w:val="none" w:sz="0" w:space="0" w:color="auto"/>
        <w:bottom w:val="none" w:sz="0" w:space="0" w:color="auto"/>
        <w:right w:val="none" w:sz="0" w:space="0" w:color="auto"/>
      </w:divBdr>
    </w:div>
    <w:div w:id="1978871598">
      <w:bodyDiv w:val="1"/>
      <w:marLeft w:val="0"/>
      <w:marRight w:val="0"/>
      <w:marTop w:val="0"/>
      <w:marBottom w:val="0"/>
      <w:divBdr>
        <w:top w:val="none" w:sz="0" w:space="0" w:color="auto"/>
        <w:left w:val="none" w:sz="0" w:space="0" w:color="auto"/>
        <w:bottom w:val="none" w:sz="0" w:space="0" w:color="auto"/>
        <w:right w:val="none" w:sz="0" w:space="0" w:color="auto"/>
      </w:divBdr>
    </w:div>
    <w:div w:id="1987584152">
      <w:bodyDiv w:val="1"/>
      <w:marLeft w:val="0"/>
      <w:marRight w:val="0"/>
      <w:marTop w:val="0"/>
      <w:marBottom w:val="0"/>
      <w:divBdr>
        <w:top w:val="none" w:sz="0" w:space="0" w:color="auto"/>
        <w:left w:val="none" w:sz="0" w:space="0" w:color="auto"/>
        <w:bottom w:val="none" w:sz="0" w:space="0" w:color="auto"/>
        <w:right w:val="none" w:sz="0" w:space="0" w:color="auto"/>
      </w:divBdr>
    </w:div>
    <w:div w:id="1988121206">
      <w:bodyDiv w:val="1"/>
      <w:marLeft w:val="0"/>
      <w:marRight w:val="0"/>
      <w:marTop w:val="0"/>
      <w:marBottom w:val="0"/>
      <w:divBdr>
        <w:top w:val="none" w:sz="0" w:space="0" w:color="auto"/>
        <w:left w:val="none" w:sz="0" w:space="0" w:color="auto"/>
        <w:bottom w:val="none" w:sz="0" w:space="0" w:color="auto"/>
        <w:right w:val="none" w:sz="0" w:space="0" w:color="auto"/>
      </w:divBdr>
    </w:div>
    <w:div w:id="2018195960">
      <w:bodyDiv w:val="1"/>
      <w:marLeft w:val="0"/>
      <w:marRight w:val="0"/>
      <w:marTop w:val="0"/>
      <w:marBottom w:val="0"/>
      <w:divBdr>
        <w:top w:val="none" w:sz="0" w:space="0" w:color="auto"/>
        <w:left w:val="none" w:sz="0" w:space="0" w:color="auto"/>
        <w:bottom w:val="none" w:sz="0" w:space="0" w:color="auto"/>
        <w:right w:val="none" w:sz="0" w:space="0" w:color="auto"/>
      </w:divBdr>
    </w:div>
    <w:div w:id="2028365707">
      <w:bodyDiv w:val="1"/>
      <w:marLeft w:val="0"/>
      <w:marRight w:val="0"/>
      <w:marTop w:val="0"/>
      <w:marBottom w:val="0"/>
      <w:divBdr>
        <w:top w:val="none" w:sz="0" w:space="0" w:color="auto"/>
        <w:left w:val="none" w:sz="0" w:space="0" w:color="auto"/>
        <w:bottom w:val="none" w:sz="0" w:space="0" w:color="auto"/>
        <w:right w:val="none" w:sz="0" w:space="0" w:color="auto"/>
      </w:divBdr>
    </w:div>
    <w:div w:id="2029484180">
      <w:bodyDiv w:val="1"/>
      <w:marLeft w:val="0"/>
      <w:marRight w:val="0"/>
      <w:marTop w:val="0"/>
      <w:marBottom w:val="0"/>
      <w:divBdr>
        <w:top w:val="none" w:sz="0" w:space="0" w:color="auto"/>
        <w:left w:val="none" w:sz="0" w:space="0" w:color="auto"/>
        <w:bottom w:val="none" w:sz="0" w:space="0" w:color="auto"/>
        <w:right w:val="none" w:sz="0" w:space="0" w:color="auto"/>
      </w:divBdr>
    </w:div>
    <w:div w:id="2034651408">
      <w:bodyDiv w:val="1"/>
      <w:marLeft w:val="0"/>
      <w:marRight w:val="0"/>
      <w:marTop w:val="0"/>
      <w:marBottom w:val="0"/>
      <w:divBdr>
        <w:top w:val="none" w:sz="0" w:space="0" w:color="auto"/>
        <w:left w:val="none" w:sz="0" w:space="0" w:color="auto"/>
        <w:bottom w:val="none" w:sz="0" w:space="0" w:color="auto"/>
        <w:right w:val="none" w:sz="0" w:space="0" w:color="auto"/>
      </w:divBdr>
    </w:div>
    <w:div w:id="2053843036">
      <w:bodyDiv w:val="1"/>
      <w:marLeft w:val="0"/>
      <w:marRight w:val="0"/>
      <w:marTop w:val="0"/>
      <w:marBottom w:val="0"/>
      <w:divBdr>
        <w:top w:val="none" w:sz="0" w:space="0" w:color="auto"/>
        <w:left w:val="none" w:sz="0" w:space="0" w:color="auto"/>
        <w:bottom w:val="none" w:sz="0" w:space="0" w:color="auto"/>
        <w:right w:val="none" w:sz="0" w:space="0" w:color="auto"/>
      </w:divBdr>
    </w:div>
    <w:div w:id="2057849803">
      <w:bodyDiv w:val="1"/>
      <w:marLeft w:val="0"/>
      <w:marRight w:val="0"/>
      <w:marTop w:val="0"/>
      <w:marBottom w:val="0"/>
      <w:divBdr>
        <w:top w:val="none" w:sz="0" w:space="0" w:color="auto"/>
        <w:left w:val="none" w:sz="0" w:space="0" w:color="auto"/>
        <w:bottom w:val="none" w:sz="0" w:space="0" w:color="auto"/>
        <w:right w:val="none" w:sz="0" w:space="0" w:color="auto"/>
      </w:divBdr>
    </w:div>
    <w:div w:id="2081443103">
      <w:bodyDiv w:val="1"/>
      <w:marLeft w:val="0"/>
      <w:marRight w:val="0"/>
      <w:marTop w:val="0"/>
      <w:marBottom w:val="0"/>
      <w:divBdr>
        <w:top w:val="none" w:sz="0" w:space="0" w:color="auto"/>
        <w:left w:val="none" w:sz="0" w:space="0" w:color="auto"/>
        <w:bottom w:val="none" w:sz="0" w:space="0" w:color="auto"/>
        <w:right w:val="none" w:sz="0" w:space="0" w:color="auto"/>
      </w:divBdr>
    </w:div>
    <w:div w:id="2093119363">
      <w:bodyDiv w:val="1"/>
      <w:marLeft w:val="0"/>
      <w:marRight w:val="0"/>
      <w:marTop w:val="0"/>
      <w:marBottom w:val="0"/>
      <w:divBdr>
        <w:top w:val="none" w:sz="0" w:space="0" w:color="auto"/>
        <w:left w:val="none" w:sz="0" w:space="0" w:color="auto"/>
        <w:bottom w:val="none" w:sz="0" w:space="0" w:color="auto"/>
        <w:right w:val="none" w:sz="0" w:space="0" w:color="auto"/>
      </w:divBdr>
    </w:div>
    <w:div w:id="2113435457">
      <w:bodyDiv w:val="1"/>
      <w:marLeft w:val="0"/>
      <w:marRight w:val="0"/>
      <w:marTop w:val="0"/>
      <w:marBottom w:val="0"/>
      <w:divBdr>
        <w:top w:val="none" w:sz="0" w:space="0" w:color="auto"/>
        <w:left w:val="none" w:sz="0" w:space="0" w:color="auto"/>
        <w:bottom w:val="none" w:sz="0" w:space="0" w:color="auto"/>
        <w:right w:val="none" w:sz="0" w:space="0" w:color="auto"/>
      </w:divBdr>
    </w:div>
    <w:div w:id="2114085974">
      <w:bodyDiv w:val="1"/>
      <w:marLeft w:val="0"/>
      <w:marRight w:val="0"/>
      <w:marTop w:val="0"/>
      <w:marBottom w:val="0"/>
      <w:divBdr>
        <w:top w:val="none" w:sz="0" w:space="0" w:color="auto"/>
        <w:left w:val="none" w:sz="0" w:space="0" w:color="auto"/>
        <w:bottom w:val="none" w:sz="0" w:space="0" w:color="auto"/>
        <w:right w:val="none" w:sz="0" w:space="0" w:color="auto"/>
      </w:divBdr>
    </w:div>
    <w:div w:id="2118596465">
      <w:bodyDiv w:val="1"/>
      <w:marLeft w:val="0"/>
      <w:marRight w:val="0"/>
      <w:marTop w:val="0"/>
      <w:marBottom w:val="0"/>
      <w:divBdr>
        <w:top w:val="none" w:sz="0" w:space="0" w:color="auto"/>
        <w:left w:val="none" w:sz="0" w:space="0" w:color="auto"/>
        <w:bottom w:val="none" w:sz="0" w:space="0" w:color="auto"/>
        <w:right w:val="none" w:sz="0" w:space="0" w:color="auto"/>
      </w:divBdr>
    </w:div>
    <w:div w:id="21244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58A1-A3BF-4E0D-9DC6-D263D61B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3074</Words>
  <Characters>16139</Characters>
  <Application>Microsoft Office Word</Application>
  <DocSecurity>4</DocSecurity>
  <Lines>134</Lines>
  <Paragraphs>38</Paragraphs>
  <ScaleCrop>false</ScaleCrop>
  <HeadingPairs>
    <vt:vector size="2" baseType="variant">
      <vt:variant>
        <vt:lpstr>Title</vt:lpstr>
      </vt:variant>
      <vt:variant>
        <vt:i4>1</vt:i4>
      </vt:variant>
    </vt:vector>
  </HeadingPairs>
  <TitlesOfParts>
    <vt:vector size="1" baseType="lpstr">
      <vt:lpstr>DRAFT AGENDA ITEM</vt:lpstr>
    </vt:vector>
  </TitlesOfParts>
  <Company>Runnymede Borough Council</Company>
  <LinksUpToDate>false</LinksUpToDate>
  <CharactersWithSpaces>19175</CharactersWithSpaces>
  <SharedDoc>false</SharedDoc>
  <HLinks>
    <vt:vector size="18" baseType="variant">
      <vt:variant>
        <vt:i4>327750</vt:i4>
      </vt:variant>
      <vt:variant>
        <vt:i4>3</vt:i4>
      </vt:variant>
      <vt:variant>
        <vt:i4>0</vt:i4>
      </vt:variant>
      <vt:variant>
        <vt:i4>5</vt:i4>
      </vt:variant>
      <vt:variant>
        <vt:lpwstr>http://www.runnymede.gov.uk/</vt:lpwstr>
      </vt:variant>
      <vt:variant>
        <vt:lpwstr/>
      </vt:variant>
      <vt:variant>
        <vt:i4>3735562</vt:i4>
      </vt:variant>
      <vt:variant>
        <vt:i4>0</vt:i4>
      </vt:variant>
      <vt:variant>
        <vt:i4>0</vt:i4>
      </vt:variant>
      <vt:variant>
        <vt:i4>5</vt:i4>
      </vt:variant>
      <vt:variant>
        <vt:lpwstr>mailto:john.gurmin@runnymede.gov.uk</vt:lpwstr>
      </vt:variant>
      <vt:variant>
        <vt:lpwstr/>
      </vt:variant>
      <vt:variant>
        <vt:i4>7405603</vt:i4>
      </vt:variant>
      <vt:variant>
        <vt:i4>4844</vt:i4>
      </vt:variant>
      <vt:variant>
        <vt:i4>1025</vt:i4>
      </vt:variant>
      <vt:variant>
        <vt:i4>1</vt:i4>
      </vt:variant>
      <vt:variant>
        <vt:lpwstr>http://rbcintranet03/home/staff/communications/Translations/CS_Translation_Text.jpg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ITEM</dc:title>
  <dc:creator>Denise Morley</dc:creator>
  <cp:lastModifiedBy>Paul French</cp:lastModifiedBy>
  <cp:revision>2</cp:revision>
  <cp:lastPrinted>2018-02-02T09:50:00Z</cp:lastPrinted>
  <dcterms:created xsi:type="dcterms:W3CDTF">2018-02-02T09:52:00Z</dcterms:created>
  <dcterms:modified xsi:type="dcterms:W3CDTF">2018-02-02T09:52:00Z</dcterms:modified>
</cp:coreProperties>
</file>